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17DE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4C48237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ascii="Calibri" w:hAnsi="Calibri" w:eastAsia="仿宋" w:cs="Calibri"/>
          <w:color w:val="0F1115"/>
          <w:sz w:val="32"/>
          <w:szCs w:val="32"/>
          <w:shd w:val="clear" w:color="auto" w:fill="FFFFFF"/>
        </w:rPr>
        <w:t> </w:t>
      </w:r>
      <w:r>
        <w:rPr>
          <w:rFonts w:hint="eastAsia" w:ascii="Calibri" w:hAnsi="Calibri" w:eastAsia="仿宋" w:cs="Calibri"/>
          <w:color w:val="0F1115"/>
          <w:sz w:val="32"/>
          <w:szCs w:val="32"/>
          <w:shd w:val="clear" w:color="auto" w:fill="FFFFFF"/>
        </w:rPr>
        <w:t>输血管理系统</w:t>
      </w: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服务项目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0"/>
        <w:gridCol w:w="1518"/>
        <w:gridCol w:w="3283"/>
        <w:gridCol w:w="798"/>
        <w:gridCol w:w="1103"/>
      </w:tblGrid>
      <w:tr w14:paraId="4863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blHeader/>
          <w:jc w:val="center"/>
        </w:trPr>
        <w:tc>
          <w:tcPr>
            <w:tcW w:w="1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84910D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评分部分</w:t>
            </w: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BD61E3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评分因素</w:t>
            </w: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6103DA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评分标准</w:t>
            </w: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DD997E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561B56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分值属性</w:t>
            </w:r>
          </w:p>
        </w:tc>
      </w:tr>
      <w:tr w14:paraId="1D42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6" w:hRule="atLeast"/>
          <w:jc w:val="center"/>
        </w:trPr>
        <w:tc>
          <w:tcPr>
            <w:tcW w:w="1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B0A8F5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价格部分 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4E965E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参选报价</w:t>
            </w: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EB8C69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满足比选文件要求且参选价格最低的报价为评审基准价，其价格分为满分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kern w:val="0"/>
                <w:szCs w:val="21"/>
              </w:rPr>
              <w:t>分。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其他参选人的价格分统一按照下列公式计算：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价格得分 = (评审基准价 / 参选报价) ×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kern w:val="0"/>
                <w:szCs w:val="21"/>
              </w:rPr>
              <w:t>。</w:t>
            </w: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766013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50A120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7B9C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0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FF7510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商务部分 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30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3AB03E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同类项目业绩</w:t>
            </w: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8814A9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提供自本项目比选公告发布之日起向前推算三周年内签订的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同类型项目合同，</w:t>
            </w:r>
            <w:r>
              <w:rPr>
                <w:rFonts w:ascii="仿宋" w:hAnsi="仿宋" w:eastAsia="仿宋" w:cs="宋体"/>
                <w:kern w:val="0"/>
                <w:szCs w:val="21"/>
              </w:rPr>
              <w:t>每提供1个符合要求的有效合同得</w:t>
            </w:r>
            <w:r>
              <w:rPr>
                <w:rFonts w:ascii="仿宋" w:hAnsi="Calibri" w:eastAsia="仿宋" w:cs="Calibri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5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</w:t>
            </w:r>
            <w:r>
              <w:rPr>
                <w:rFonts w:ascii="仿宋" w:hAnsi="仿宋" w:eastAsia="仿宋" w:cs="宋体"/>
                <w:kern w:val="0"/>
                <w:szCs w:val="21"/>
              </w:rPr>
              <w:t>，本项最高得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2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</w:t>
            </w:r>
            <w:r>
              <w:rPr>
                <w:rFonts w:ascii="仿宋" w:hAnsi="仿宋" w:eastAsia="仿宋" w:cs="宋体"/>
                <w:kern w:val="0"/>
                <w:szCs w:val="21"/>
              </w:rPr>
              <w:t>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（须提供合同关键页）</w:t>
            </w: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8D84F1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2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31DA9C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3366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7" w:hRule="atLeast"/>
          <w:jc w:val="center"/>
        </w:trPr>
        <w:tc>
          <w:tcPr>
            <w:tcW w:w="1820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366210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5C3865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本地化服务能力</w:t>
            </w: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59646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承诺的现场响应时间及保障方案：</w:t>
            </w:r>
          </w:p>
          <w:p w14:paraId="71E529E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1. 承诺 2 小时内到达现场，且提供具体人员配置（含姓名、联系方式、驻场地点）及交通保障方案（如专属车辆、应急交通预案）的，得10分；</w:t>
            </w:r>
          </w:p>
          <w:p w14:paraId="07A204B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2. 承诺 3 小时内到达现场，提供基础人员及交通安排说明的，得 6分；</w:t>
            </w:r>
          </w:p>
          <w:p w14:paraId="2B2F2150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3. 仅承诺满足公告 4 小时要求，无额外保障措施的，得 4 分。</w:t>
            </w: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64866D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606525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7C95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0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B2FCF5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技术部分（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30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分）</w:t>
            </w: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2C735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项目团队配置</w:t>
            </w: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91248F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1. </w:t>
            </w:r>
            <w:r>
              <w:rPr>
                <w:rFonts w:ascii="仿宋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提供为本项目配备的项目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团队成员</w:t>
            </w:r>
            <w:r>
              <w:rPr>
                <w:rFonts w:ascii="仿宋" w:hAnsi="仿宋" w:eastAsia="仿宋" w:cs="宋体"/>
                <w:kern w:val="0"/>
                <w:szCs w:val="21"/>
              </w:rPr>
              <w:t>名单。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项目负责人拥有PMP证书得2分，提供团队名单得2分。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2. 团队资历（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6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分）：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 </w:t>
            </w:r>
            <w:r>
              <w:rPr>
                <w:rFonts w:hint="eastAsia" w:ascii="仿宋" w:hAnsi="微软雅黑" w:eastAsia="仿宋" w:cs="微软雅黑"/>
                <w:kern w:val="0"/>
                <w:szCs w:val="21"/>
              </w:rPr>
              <w:t>•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人员稳定性（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3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分，客观分）：</w:t>
            </w:r>
            <w:r>
              <w:rPr>
                <w:rFonts w:ascii="仿宋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上述核心人员中，每提供一人近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一</w:t>
            </w:r>
            <w:r>
              <w:rPr>
                <w:rFonts w:ascii="仿宋" w:hAnsi="仿宋" w:eastAsia="仿宋" w:cs="宋体"/>
                <w:kern w:val="0"/>
                <w:szCs w:val="21"/>
              </w:rPr>
              <w:t>年由参选单位缴纳的社保证明，得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kern w:val="0"/>
                <w:szCs w:val="21"/>
              </w:rPr>
              <w:t>分。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 </w:t>
            </w:r>
            <w:r>
              <w:rPr>
                <w:rFonts w:hint="eastAsia" w:ascii="仿宋" w:hAnsi="微软雅黑" w:eastAsia="仿宋" w:cs="微软雅黑"/>
                <w:kern w:val="0"/>
                <w:szCs w:val="21"/>
              </w:rPr>
              <w:t>•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从业经验（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3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分，客观分）：</w:t>
            </w:r>
            <w:r>
              <w:rPr>
                <w:rFonts w:ascii="仿宋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上述核心人员中，每提供一人3年以上相关工作经验证明（如劳动合同、项目证明等），得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kern w:val="0"/>
                <w:szCs w:val="21"/>
              </w:rPr>
              <w:t>分。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 </w:t>
            </w: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342F6F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0C729D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客观/主观</w:t>
            </w:r>
          </w:p>
        </w:tc>
      </w:tr>
      <w:tr w14:paraId="2F6F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0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ED5E83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4F7A2A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运维服务方案</w:t>
            </w: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342B42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针对运维范围与内容，提供详细、可行的年度运维服务方案。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br w:type="textWrapping"/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1. 优（25分-20分）：方案完全覆盖所有运维模块及服务内容；明确 SLA 指标（如故障解决时限、巡检频率、数据备份周期）；建立完善的监控报告机制（日 / 周 / 月报表内容清晰）；流程规范，团队分工明确；</w:t>
            </w:r>
          </w:p>
          <w:p w14:paraId="547D697B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2. 良（19分-14分）：方案覆盖主要运维内容；有基本的服务计划和人员分工；</w:t>
            </w:r>
          </w:p>
          <w:p w14:paraId="08EA1FF9">
            <w:pPr>
              <w:widowControl/>
              <w:snapToGrid w:val="0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3. 差（13分及以下）：方案笼统，缺乏具体实施内容和时间计划。</w:t>
            </w: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D18626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143CDD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主观</w:t>
            </w:r>
          </w:p>
        </w:tc>
      </w:tr>
      <w:tr w14:paraId="34A0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36A4BD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5AA108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应急与安全保障方案</w:t>
            </w: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85D1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提供系统故障、数据恢复、安全事件的专项应急预案。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br w:type="textWrapping"/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1. 优（25分-20分）：预案包含明确的应急启动条件、指挥架构、详细处理流程（含数据恢复步骤、系统回退方案、财务数据保密措施）及事后复盘机制；</w:t>
            </w:r>
          </w:p>
          <w:p w14:paraId="14322FE7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2. 良（19分-14分）：</w:t>
            </w:r>
            <w:bookmarkStart w:id="0" w:name="_GoBack"/>
            <w:bookmarkEnd w:id="0"/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预案基本要素齐全，但处理流程细节不足，无明确数据保密措施；</w:t>
            </w:r>
          </w:p>
          <w:p w14:paraId="4663FF24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3. 差（13分及以下）：预案简单，可操作性不强，关键环节缺失。</w:t>
            </w: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8C93DF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11C434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主观</w:t>
            </w:r>
          </w:p>
        </w:tc>
      </w:tr>
      <w:tr w14:paraId="70B8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56A7B8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总评分</w:t>
            </w: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6D0208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F3AB9F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0BCDDF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100分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E5DF6B">
            <w:pPr>
              <w:widowControl/>
              <w:snapToGrid w:val="0"/>
              <w:contextualSpacing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</w:p>
        </w:tc>
      </w:tr>
    </w:tbl>
    <w:p w14:paraId="0A369BC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评审委员会确认：</w:t>
      </w:r>
    </w:p>
    <w:p w14:paraId="6C02C8D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41E05B4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 xml:space="preserve">评审员（签字）：__________ __________ __________ </w:t>
      </w:r>
    </w:p>
    <w:p w14:paraId="571B843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日 期：__________年______月______日</w:t>
      </w:r>
    </w:p>
    <w:p w14:paraId="6463C6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E2AE6"/>
    <w:rsid w:val="426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2026-05-06T01:56:00Z</dcterms:created>
  <dc:creator>Lyn</dc:creator>
  <cp:lastModifiedBy>Lyn</cp:lastModifiedBy>
  <dcterms:modified xsi:type="dcterms:W3CDTF">2026-05-06T01:57:22Z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31E02D547D55419CA8DB42578A2AE95F_11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