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17DE8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附件五：</w:t>
      </w:r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综合评分表（总分</w:t>
      </w:r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1</w:t>
      </w:r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00分）</w:t>
      </w:r>
    </w:p>
    <w:p w14:paraId="4C482371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color w:val="0F1115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F1115"/>
          <w:sz w:val="32"/>
          <w:szCs w:val="32"/>
          <w:shd w:val="clear" w:color="auto" w:fill="FFFFFF"/>
        </w:rPr>
        <w:t>项目名称：</w:t>
      </w:r>
      <w:r>
        <w:rPr>
          <w:rFonts w:ascii="Calibri" w:hAnsi="Calibri" w:eastAsia="仿宋" w:cs="Calibri"/>
          <w:color w:val="0F1115"/>
          <w:sz w:val="32"/>
          <w:szCs w:val="32"/>
          <w:shd w:val="clear" w:color="auto" w:fill="FFFFFF"/>
        </w:rPr>
        <w:t> </w:t>
      </w:r>
      <w:r>
        <w:rPr>
          <w:rFonts w:hint="eastAsia" w:ascii="Calibri" w:hAnsi="Calibri" w:eastAsia="仿宋" w:cs="Calibri"/>
          <w:color w:val="0F1115"/>
          <w:sz w:val="32"/>
          <w:szCs w:val="32"/>
          <w:shd w:val="clear" w:color="auto" w:fill="FFFFFF"/>
        </w:rPr>
        <w:t>输血管理系统</w:t>
      </w:r>
      <w:r>
        <w:rPr>
          <w:rFonts w:ascii="仿宋" w:hAnsi="仿宋" w:eastAsia="仿宋"/>
          <w:color w:val="0F1115"/>
          <w:sz w:val="32"/>
          <w:szCs w:val="32"/>
          <w:shd w:val="clear" w:color="auto" w:fill="FFFFFF"/>
        </w:rPr>
        <w:t>服务</w:t>
      </w:r>
      <w:bookmarkStart w:id="0" w:name="_GoBack"/>
      <w:bookmarkEnd w:id="0"/>
      <w:r>
        <w:rPr>
          <w:rFonts w:ascii="仿宋" w:hAnsi="仿宋" w:eastAsia="仿宋"/>
          <w:color w:val="0F1115"/>
          <w:sz w:val="32"/>
          <w:szCs w:val="32"/>
          <w:shd w:val="clear" w:color="auto" w:fill="FFFFFF"/>
        </w:rPr>
        <w:t>项目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0"/>
        <w:gridCol w:w="1518"/>
        <w:gridCol w:w="3283"/>
        <w:gridCol w:w="798"/>
        <w:gridCol w:w="1103"/>
      </w:tblGrid>
      <w:tr w14:paraId="4863A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684910D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评分部分</w:t>
            </w:r>
          </w:p>
        </w:tc>
        <w:tc>
          <w:tcPr>
            <w:tcW w:w="15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BD61E3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评分因素</w:t>
            </w:r>
          </w:p>
        </w:tc>
        <w:tc>
          <w:tcPr>
            <w:tcW w:w="32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6103DA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评分标准</w:t>
            </w:r>
          </w:p>
        </w:tc>
        <w:tc>
          <w:tcPr>
            <w:tcW w:w="7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DD997E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分值</w:t>
            </w:r>
          </w:p>
        </w:tc>
        <w:tc>
          <w:tcPr>
            <w:tcW w:w="11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E561B56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分值属性</w:t>
            </w:r>
          </w:p>
        </w:tc>
      </w:tr>
      <w:tr w14:paraId="1D423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6" w:hRule="atLeast"/>
          <w:jc w:val="center"/>
        </w:trPr>
        <w:tc>
          <w:tcPr>
            <w:tcW w:w="1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1B0A8F5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价格部分 (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1</w:t>
            </w: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0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分)</w:t>
            </w:r>
          </w:p>
        </w:tc>
        <w:tc>
          <w:tcPr>
            <w:tcW w:w="15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4E965E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参选报价</w:t>
            </w:r>
          </w:p>
        </w:tc>
        <w:tc>
          <w:tcPr>
            <w:tcW w:w="32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EB8C69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满足比选文件要求且参选价格最低的报价为评审基准价，其价格分为满分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1</w:t>
            </w: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0</w:t>
            </w:r>
            <w:r>
              <w:rPr>
                <w:rFonts w:ascii="仿宋" w:hAnsi="仿宋" w:eastAsia="仿宋" w:cs="宋体"/>
                <w:kern w:val="0"/>
                <w:szCs w:val="21"/>
              </w:rPr>
              <w:t>分。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其他参选人的价格分统一按照下列公式计算：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价格得分 = (评审基准价 / 参选报价) ×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1</w:t>
            </w: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0</w:t>
            </w:r>
            <w:r>
              <w:rPr>
                <w:rFonts w:ascii="仿宋" w:hAnsi="仿宋" w:eastAsia="仿宋" w:cs="宋体"/>
                <w:kern w:val="0"/>
                <w:szCs w:val="21"/>
              </w:rPr>
              <w:t>。</w:t>
            </w:r>
          </w:p>
        </w:tc>
        <w:tc>
          <w:tcPr>
            <w:tcW w:w="7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766013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1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150A120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客观</w:t>
            </w:r>
          </w:p>
        </w:tc>
      </w:tr>
      <w:tr w14:paraId="7B9C4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0" w:type="dxa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FF7510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商务部分 (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30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分)</w:t>
            </w:r>
          </w:p>
        </w:tc>
        <w:tc>
          <w:tcPr>
            <w:tcW w:w="15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3AB03E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同类项目业绩</w:t>
            </w:r>
          </w:p>
        </w:tc>
        <w:tc>
          <w:tcPr>
            <w:tcW w:w="32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8814A9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提供自本项目比选公告发布之日起向前推算三周年内签订的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同类型项目合同，</w:t>
            </w:r>
            <w:r>
              <w:rPr>
                <w:rFonts w:ascii="仿宋" w:hAnsi="仿宋" w:eastAsia="仿宋" w:cs="宋体"/>
                <w:kern w:val="0"/>
                <w:szCs w:val="21"/>
              </w:rPr>
              <w:t>每提供1个符合要求的有效合同得</w:t>
            </w:r>
            <w:r>
              <w:rPr>
                <w:rFonts w:ascii="仿宋" w:hAnsi="Calibri" w:eastAsia="仿宋" w:cs="Calibri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5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分</w:t>
            </w:r>
            <w:r>
              <w:rPr>
                <w:rFonts w:ascii="仿宋" w:hAnsi="仿宋" w:eastAsia="仿宋" w:cs="宋体"/>
                <w:kern w:val="0"/>
                <w:szCs w:val="21"/>
              </w:rPr>
              <w:t>，本项最高得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2</w:t>
            </w: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0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分</w:t>
            </w:r>
            <w:r>
              <w:rPr>
                <w:rFonts w:ascii="仿宋" w:hAnsi="仿宋" w:eastAsia="仿宋" w:cs="宋体"/>
                <w:kern w:val="0"/>
                <w:szCs w:val="21"/>
              </w:rPr>
              <w:t>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（须提供合同关键页）</w:t>
            </w:r>
          </w:p>
        </w:tc>
        <w:tc>
          <w:tcPr>
            <w:tcW w:w="7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8D84F1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2</w:t>
            </w: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0</w:t>
            </w:r>
          </w:p>
        </w:tc>
        <w:tc>
          <w:tcPr>
            <w:tcW w:w="1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831DA9C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客观</w:t>
            </w:r>
          </w:p>
        </w:tc>
      </w:tr>
      <w:tr w14:paraId="3366D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7" w:hRule="atLeast"/>
          <w:jc w:val="center"/>
        </w:trPr>
        <w:tc>
          <w:tcPr>
            <w:tcW w:w="1820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B366210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5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5C3865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</w:rPr>
              <w:t>本地化服务能力</w:t>
            </w:r>
          </w:p>
        </w:tc>
        <w:tc>
          <w:tcPr>
            <w:tcW w:w="32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596463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</w:rPr>
              <w:t>承诺的现场响应时间及保障方案：</w:t>
            </w:r>
          </w:p>
          <w:p w14:paraId="71E529E0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</w:rPr>
              <w:t>1. 承诺 2 小时内到达现场，且提供具体人员配置（含姓名、联系方式、驻场地点）及交通保障方案（如专属车辆、应急交通预案）的，得10分；</w:t>
            </w:r>
          </w:p>
          <w:p w14:paraId="07A204BA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</w:rPr>
              <w:t>2. 承诺 3 小时内到达现场，提供基础人员及交通安排说明的，得 6分；</w:t>
            </w:r>
          </w:p>
          <w:p w14:paraId="2B2F2150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</w:rPr>
              <w:t>3. 仅承诺满足公告 4 小时要求，无额外保障措施的，得 4 分。</w:t>
            </w:r>
          </w:p>
        </w:tc>
        <w:tc>
          <w:tcPr>
            <w:tcW w:w="7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64866D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1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A606525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客观</w:t>
            </w:r>
          </w:p>
        </w:tc>
      </w:tr>
      <w:tr w14:paraId="7C95E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0" w:type="dxa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2B2FCF5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技术部分（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30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分）</w:t>
            </w:r>
          </w:p>
        </w:tc>
        <w:tc>
          <w:tcPr>
            <w:tcW w:w="15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B2C735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项目团队配置</w:t>
            </w:r>
          </w:p>
        </w:tc>
        <w:tc>
          <w:tcPr>
            <w:tcW w:w="32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91248F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 xml:space="preserve">1. </w:t>
            </w:r>
            <w:r>
              <w:rPr>
                <w:rFonts w:ascii="仿宋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提供为本项目配备的项目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团队成员</w:t>
            </w:r>
            <w:r>
              <w:rPr>
                <w:rFonts w:ascii="仿宋" w:hAnsi="仿宋" w:eastAsia="仿宋" w:cs="宋体"/>
                <w:kern w:val="0"/>
                <w:szCs w:val="21"/>
              </w:rPr>
              <w:t>名单。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项目负责人拥有PMP证书得2分，提供团队名单得2分。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2. 团队资历（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6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分）：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 </w:t>
            </w:r>
            <w:r>
              <w:rPr>
                <w:rFonts w:hint="eastAsia" w:ascii="仿宋" w:hAnsi="微软雅黑" w:eastAsia="仿宋" w:cs="微软雅黑"/>
                <w:kern w:val="0"/>
                <w:szCs w:val="21"/>
              </w:rPr>
              <w:t>• 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人员稳定性（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3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分，客观分）：</w:t>
            </w:r>
            <w:r>
              <w:rPr>
                <w:rFonts w:ascii="仿宋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上述核心人员中，每提供一人近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一</w:t>
            </w:r>
            <w:r>
              <w:rPr>
                <w:rFonts w:ascii="仿宋" w:hAnsi="仿宋" w:eastAsia="仿宋" w:cs="宋体"/>
                <w:kern w:val="0"/>
                <w:szCs w:val="21"/>
              </w:rPr>
              <w:t>年由参选单位缴纳的社保证明，得</w:t>
            </w: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1</w:t>
            </w:r>
            <w:r>
              <w:rPr>
                <w:rFonts w:ascii="仿宋" w:hAnsi="仿宋" w:eastAsia="仿宋" w:cs="宋体"/>
                <w:kern w:val="0"/>
                <w:szCs w:val="21"/>
              </w:rPr>
              <w:t>分。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 </w:t>
            </w:r>
            <w:r>
              <w:rPr>
                <w:rFonts w:hint="eastAsia" w:ascii="仿宋" w:hAnsi="微软雅黑" w:eastAsia="仿宋" w:cs="微软雅黑"/>
                <w:kern w:val="0"/>
                <w:szCs w:val="21"/>
              </w:rPr>
              <w:t>• 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从业经验（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3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分，客观分）：</w:t>
            </w:r>
            <w:r>
              <w:rPr>
                <w:rFonts w:ascii="仿宋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上述核心人员中，每提供一人3年以上相关工作经验证明（如劳动合同、项目证明等），得</w:t>
            </w: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1</w:t>
            </w:r>
            <w:r>
              <w:rPr>
                <w:rFonts w:ascii="仿宋" w:hAnsi="仿宋" w:eastAsia="仿宋" w:cs="宋体"/>
                <w:kern w:val="0"/>
                <w:szCs w:val="21"/>
              </w:rPr>
              <w:t>分。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 </w:t>
            </w:r>
          </w:p>
        </w:tc>
        <w:tc>
          <w:tcPr>
            <w:tcW w:w="7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342F6F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1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40C729D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客观/主观</w:t>
            </w:r>
          </w:p>
        </w:tc>
      </w:tr>
      <w:tr w14:paraId="2F6FD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0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CED5E83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4F7A2A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</w:rPr>
              <w:t>运维服务方案</w:t>
            </w:r>
          </w:p>
        </w:tc>
        <w:tc>
          <w:tcPr>
            <w:tcW w:w="32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342B42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bCs/>
                <w:color w:val="0F1115"/>
                <w:kern w:val="0"/>
              </w:rPr>
              <w:t>针对运维范围与内容，提供详细、可行的年度运维服务方案。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</w:rPr>
              <w:br w:type="textWrapping"/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</w:rPr>
              <w:t>1. 优（25分-20分）：方案完全覆盖所有运维模块及服务内容；明确 SLA 指标（如故障解决时限、巡检频率、数据备份周期）；建立完善的监控报告机制（日 / 周 / 月报表内容清晰）；流程规范，团队分工明确；</w:t>
            </w:r>
          </w:p>
          <w:p w14:paraId="547D697B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bCs/>
                <w:color w:val="0F1115"/>
                <w:kern w:val="0"/>
              </w:rPr>
              <w:t>2. 良（19分-14分）：方案覆盖主要运维内容；有基本的服务计划和人员分工；</w:t>
            </w:r>
          </w:p>
          <w:p w14:paraId="08EA1FF9">
            <w:pPr>
              <w:widowControl/>
              <w:snapToGrid w:val="0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Segoe UI"/>
                <w:bCs/>
                <w:color w:val="0F1115"/>
                <w:kern w:val="0"/>
              </w:rPr>
              <w:t>3. 差（13分及以下）：方案笼统，缺乏具体实施内容和时间计划。</w:t>
            </w:r>
          </w:p>
        </w:tc>
        <w:tc>
          <w:tcPr>
            <w:tcW w:w="7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D18626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25</w:t>
            </w:r>
          </w:p>
        </w:tc>
        <w:tc>
          <w:tcPr>
            <w:tcW w:w="1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C143CDD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主观</w:t>
            </w:r>
          </w:p>
        </w:tc>
      </w:tr>
      <w:tr w14:paraId="34A0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C36A4BD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5AA108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</w:rPr>
              <w:t>应急与安全保障方案</w:t>
            </w:r>
          </w:p>
        </w:tc>
        <w:tc>
          <w:tcPr>
            <w:tcW w:w="32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985D16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bCs/>
                <w:color w:val="0F1115"/>
                <w:kern w:val="0"/>
              </w:rPr>
              <w:t>提供系统故障、数据恢复、安全事件的专项应急预案。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</w:rPr>
              <w:br w:type="textWrapping"/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</w:rPr>
              <w:t>1. 优（25分-20分）：预案包含明确的应急启动条件、指挥架构、详细处理流程（含数据恢复步骤、系统回退方案、财务数据保密措施）及事后复盘机制；</w:t>
            </w:r>
          </w:p>
          <w:p w14:paraId="14322FE7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</w:rPr>
            </w:pPr>
            <w:r>
              <w:rPr>
                <w:rFonts w:hint="eastAsia" w:ascii="仿宋" w:hAnsi="仿宋" w:eastAsia="仿宋" w:cs="Segoe UI"/>
                <w:bCs/>
                <w:color w:val="0F1115"/>
                <w:kern w:val="0"/>
              </w:rPr>
              <w:t>2. 良（19分-14分）：预案基本要素齐全，但处理流程细节不足，无明确数据保密措施；</w:t>
            </w:r>
          </w:p>
          <w:p w14:paraId="4663FF24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bCs/>
                <w:color w:val="0F1115"/>
                <w:kern w:val="0"/>
              </w:rPr>
              <w:t>3. 差（13分及以下）：预案简单，可操作性不强，关键环节缺失。</w:t>
            </w:r>
          </w:p>
        </w:tc>
        <w:tc>
          <w:tcPr>
            <w:tcW w:w="7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8C93DF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25</w:t>
            </w:r>
          </w:p>
        </w:tc>
        <w:tc>
          <w:tcPr>
            <w:tcW w:w="1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011C434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主观</w:t>
            </w:r>
          </w:p>
        </w:tc>
      </w:tr>
      <w:tr w14:paraId="70B8E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A56A7B8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总评分</w:t>
            </w:r>
          </w:p>
        </w:tc>
        <w:tc>
          <w:tcPr>
            <w:tcW w:w="15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6D0208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32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F3AB9F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7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0BCDDF">
            <w:pPr>
              <w:widowControl/>
              <w:snapToGrid w:val="0"/>
              <w:contextualSpacing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100分</w:t>
            </w:r>
          </w:p>
        </w:tc>
        <w:tc>
          <w:tcPr>
            <w:tcW w:w="1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FE5DF6B">
            <w:pPr>
              <w:widowControl/>
              <w:snapToGrid w:val="0"/>
              <w:contextualSpacing/>
              <w:jc w:val="center"/>
              <w:rPr>
                <w:rFonts w:ascii="仿宋" w:hAnsi="仿宋" w:eastAsia="仿宋"/>
                <w:b/>
                <w:kern w:val="0"/>
                <w:szCs w:val="21"/>
              </w:rPr>
            </w:pPr>
          </w:p>
        </w:tc>
      </w:tr>
    </w:tbl>
    <w:p w14:paraId="0A369BC7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</w:rPr>
        <w:t>评审委员会确认：</w:t>
      </w:r>
    </w:p>
    <w:p w14:paraId="6C02C8DB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</w:rPr>
      </w:pPr>
      <w:r>
        <w:rPr>
          <w:rFonts w:ascii="仿宋" w:hAnsi="仿宋" w:eastAsia="仿宋" w:cs="Segoe UI"/>
          <w:color w:val="0F1115"/>
          <w:kern w:val="0"/>
          <w:sz w:val="24"/>
        </w:rPr>
        <w:t>我们确认，已根据比选文件规定的评审标准和程序，对所有通过资格性及符合性审查的参选文件进行了独立、公正的评审，并依据上表评分标准得出各项得分及总评分。</w:t>
      </w:r>
    </w:p>
    <w:p w14:paraId="41E05B4E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</w:rPr>
      </w:pPr>
      <w:r>
        <w:rPr>
          <w:rFonts w:ascii="仿宋" w:hAnsi="仿宋" w:eastAsia="仿宋" w:cs="Segoe UI"/>
          <w:color w:val="0F1115"/>
          <w:kern w:val="0"/>
          <w:sz w:val="24"/>
        </w:rPr>
        <w:t xml:space="preserve">评审员（签字）：__________ __________ __________ </w:t>
      </w:r>
    </w:p>
    <w:p w14:paraId="571B8432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</w:rPr>
      </w:pPr>
      <w:r>
        <w:rPr>
          <w:rFonts w:ascii="仿宋" w:hAnsi="仿宋" w:eastAsia="仿宋" w:cs="Segoe UI"/>
          <w:color w:val="0F1115"/>
          <w:kern w:val="0"/>
          <w:sz w:val="24"/>
        </w:rPr>
        <w:t>日 期：__________年______月______日</w:t>
      </w:r>
    </w:p>
    <w:p w14:paraId="4264E7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4039A"/>
    <w:rsid w:val="2604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2026-04-24T03:41:00Z</dcterms:created>
  <dc:creator>Lyn</dc:creator>
  <cp:lastModifiedBy>Lyn</cp:lastModifiedBy>
  <dcterms:modified xsi:type="dcterms:W3CDTF">2026-04-24T03:46:59Z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D571D984DC9B4BBEB9F5D2112B8EBC8D_11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