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3E8D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</w:p>
    <w:p w14:paraId="20C96870">
      <w:pPr>
        <w:widowControl/>
        <w:shd w:val="clear" w:color="auto" w:fill="FFFFFF"/>
        <w:spacing w:line="520" w:lineRule="exact"/>
        <w:contextualSpacing/>
        <w:jc w:val="center"/>
        <w:rPr>
          <w:rFonts w:ascii="仿宋" w:hAnsi="仿宋" w:eastAsia="仿宋"/>
          <w:b/>
          <w:color w:val="0F1115"/>
          <w:sz w:val="44"/>
          <w:szCs w:val="44"/>
          <w:shd w:val="clear" w:color="auto" w:fill="FFFFFF"/>
        </w:rPr>
      </w:pPr>
      <w:r>
        <w:rPr>
          <w:rFonts w:ascii="仿宋" w:hAnsi="仿宋" w:eastAsia="仿宋"/>
          <w:b/>
          <w:color w:val="0F1115"/>
          <w:sz w:val="44"/>
          <w:szCs w:val="44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44"/>
          <w:szCs w:val="44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44"/>
          <w:szCs w:val="44"/>
          <w:shd w:val="clear" w:color="auto" w:fill="FFFFFF"/>
        </w:rPr>
        <w:t>00分）</w:t>
      </w:r>
    </w:p>
    <w:p w14:paraId="5F29548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项目名称：中央除尘系统维修保养服务项目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914"/>
        <w:gridCol w:w="5270"/>
        <w:gridCol w:w="842"/>
        <w:gridCol w:w="727"/>
      </w:tblGrid>
      <w:tr w14:paraId="66C4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C2D01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评分部分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B5A5F3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评分因素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AC197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评分标准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59E14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24C5C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属性</w:t>
            </w:r>
          </w:p>
        </w:tc>
      </w:tr>
      <w:tr w14:paraId="6BB6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344F0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价格部分 (10分)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C8B94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参选报价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799F2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满足比选文件要求且价格最低的报价为评审基准价，其价格分为满分10分。其他报价得分 = (评审基准价 / 参选报价) × 10。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DC8A3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B040E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0927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7D42E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商务部分 (20分)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7B649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同类项目业绩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CFC1A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自本比选公告发布之日前三年内，独立完成的风机系统、除尘系统或中央空调风系统过滤器维修或更换服务项目合同。每提供1个符合要求的有效合同得4分，本项最高得12分。（须提供合同关键页及对应的服务验收证明或结算凭证复印件，否则不计分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4650E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9BAC2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2C6F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635F9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55E99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人员资质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EEE3E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项目负责人资质（4分）：拟派项目负责人持有高空作业证、低压电工证、制冷与空调设备安装修理作业证中的任一有效证书得2分；持有两项及以上得4分。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团队配置（4分）：提供了完整的项目团队人员清单，且所有现场作业人员均承诺持证上岗（提供承诺函），得4分。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A9E88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4AC4E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1808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2E748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技术部分 (70分)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3A80F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维保服务方案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72017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.基础方案（15分）：方案完整覆盖比选文件要求的季度维保、管道冲洗、滤芯更换全部内容，有基本的操作流程和时间安排，可得15分。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.优化方案（+10分）：在基础方案上，增加了针对医院特殊环境的细化措施（如错峰施工、噪音控制、防尘保护等），或提出了更优的维保周期或方法，加10分。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.创新/增值方案（+5分）：提供了预防性维护建议、设备效率提升方案、或更长期的质保承诺等增值服务，加5分。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4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.较差（0-14分）：方案内容空泛、缺项、逻辑混乱或无法满足基本要求。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AFBAC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9E329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34CF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0720C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8247E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质量保障措施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0CD37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针对维保服务质量所提出的保障措施、检验方法、验收标准及不合格的处理承诺。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优秀(15分)、良好(10分)、一般(5分)、较差(0分)。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1A3E3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D0F18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4A0F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428E2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531E8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安全与应急预案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C787D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安全施工方案（10分）：针对医院特殊环境（人员密集、有患者等），提出的安全作业方案的完善性、针对性。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应急预案（5分）：对设备突发故障、作业安全事故等的应急处理措施。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26E8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466EA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2E01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C6844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CDCB3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售后服务方案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FB0AD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根据提供的售后响应时间、质保期承诺、故障报修处理流程、定期回访计划等进行综合评定。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优秀(10分)、良好(6分)、一般(3分)、较差(0分)。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DC147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09760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01CB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76547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总评分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94288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E3E38A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9D0D5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100分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14DF66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3D94FCA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17ADF1E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 w:val="24"/>
          <w:szCs w:val="24"/>
        </w:rPr>
        <w:t>准和程序，对所有通过资格性及符合性审查的参选文件进行了独立、公正的评审，并依据上表评分标准得出各项得分及总评分。</w:t>
      </w:r>
    </w:p>
    <w:p w14:paraId="072522B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1DD0D31D"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C7FBD"/>
    <w:rsid w:val="174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2026-04-16T05:24:00Z</dcterms:created>
  <dc:creator>Lyn</dc:creator>
  <cp:lastModifiedBy>Lyn</cp:lastModifiedBy>
  <dcterms:modified xsi:type="dcterms:W3CDTF">2026-04-16T05:25:30Z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EE00FDDB3D48468CA5D657D54B78AA7C_11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