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3DE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：资格性审查表</w:t>
      </w:r>
    </w:p>
    <w:p w14:paraId="50A3D82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4"/>
        </w:rPr>
      </w:pPr>
      <w:r>
        <w:rPr>
          <w:rFonts w:ascii="仿宋" w:hAnsi="仿宋" w:eastAsia="仿宋" w:cs="Segoe UI"/>
          <w:bCs/>
          <w:color w:val="0F1115"/>
          <w:sz w:val="24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24"/>
          <w:shd w:val="clear" w:color="auto" w:fill="FFFFFF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hd w:val="clear" w:color="auto" w:fill="FFFFFF"/>
        </w:rPr>
        <w:t>口腔专业模拟病人招募与志愿服务项目</w:t>
      </w:r>
    </w:p>
    <w:p w14:paraId="04DA5F21">
      <w:pPr>
        <w:pStyle w:val="4"/>
        <w:shd w:val="clear" w:color="auto" w:fill="FFFFFF"/>
        <w:spacing w:before="0" w:beforeAutospacing="0" w:after="0" w:afterAutospacing="0" w:line="520" w:lineRule="exact"/>
        <w:contextualSpacing/>
        <w:rPr>
          <w:rFonts w:ascii="仿宋" w:hAnsi="仿宋" w:eastAsia="仿宋" w:cs="Segoe UI"/>
          <w:color w:val="0F1115"/>
        </w:rPr>
      </w:pPr>
      <w:r>
        <w:rPr>
          <w:rFonts w:ascii="仿宋" w:hAnsi="仿宋" w:eastAsia="仿宋" w:cs="Segoe UI"/>
          <w:bCs/>
          <w:color w:val="0F1115"/>
        </w:rPr>
        <w:t>评审原则：</w:t>
      </w:r>
      <w:r>
        <w:rPr>
          <w:rFonts w:ascii="Calibri" w:hAnsi="Calibri" w:eastAsia="仿宋" w:cs="Calibri"/>
          <w:color w:val="0F1115"/>
        </w:rPr>
        <w:t> </w:t>
      </w:r>
      <w:r>
        <w:rPr>
          <w:rFonts w:ascii="仿宋" w:hAnsi="仿宋" w:eastAsia="仿宋" w:cs="Segoe UI"/>
          <w:color w:val="0F1115"/>
        </w:rPr>
        <w:t>以下六项审查中，任一参选人有任一项结论为“不通过”，则其资格性审查总体结论为“不通过”，不得进入后续评审。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1430"/>
        <w:gridCol w:w="4252"/>
        <w:gridCol w:w="1608"/>
        <w:gridCol w:w="1936"/>
      </w:tblGrid>
      <w:tr w14:paraId="0664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0D1CA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A6E1CA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712F2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审查内容与核验要求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6EAE9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 (通过/不通过)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88189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审查要点与说明</w:t>
            </w:r>
          </w:p>
        </w:tc>
      </w:tr>
      <w:tr w14:paraId="3354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97E31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3F1BF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法人资格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5C0A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是否为在中华人民共和国境内注册，能够独立承担民事责任的法人或其他组织。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合法有效的《营业执照》复印件（加盖公章）。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8DCC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C66009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核对单位名称、统一社会信用代码、有效期。营业执照应处于有效状态。</w:t>
            </w:r>
          </w:p>
        </w:tc>
      </w:tr>
      <w:tr w14:paraId="1C2A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CECBAF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5D6AA">
            <w:pPr>
              <w:widowControl/>
              <w:jc w:val="left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法定资质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AD951E">
            <w:pPr>
              <w:widowControl/>
              <w:jc w:val="left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审查内容： 是否具备国家规定的CMA资质。</w:t>
            </w:r>
            <w:r>
              <w:rPr>
                <w:rFonts w:ascii="Calibri" w:hAnsi="Calibri" w:eastAsia="仿宋" w:cs="Calibri"/>
                <w:kern w:val="0"/>
                <w:szCs w:val="21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Cs w:val="21"/>
              </w:rPr>
              <w:t>核验材料： 有效的CMA资质认定证书复印件（加盖公章）。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64390">
            <w:pPr>
              <w:widowControl/>
              <w:jc w:val="left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 xml:space="preserve"> 通过</w:t>
            </w:r>
            <w:r>
              <w:rPr>
                <w:rFonts w:ascii="Calibri" w:hAnsi="Calibri" w:eastAsia="仿宋" w:cs="Calibri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3398F">
            <w:pPr>
              <w:widowControl/>
              <w:jc w:val="left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Cs w:val="21"/>
              </w:rPr>
              <w:t>证书应在有效期内。未提供或已过期视为不通过。</w:t>
            </w:r>
          </w:p>
        </w:tc>
      </w:tr>
      <w:tr w14:paraId="0F82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E0A85A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FAC11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信誉要求（一）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无重大违法记录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D67B5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参加本次比选活动前三年内（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即从本比选公告发布之日起向前推算</w:t>
            </w:r>
            <w:r>
              <w:rPr>
                <w:rFonts w:ascii="仿宋" w:hAnsi="仿宋" w:eastAsia="仿宋" w:cs="宋体"/>
                <w:kern w:val="0"/>
                <w:szCs w:val="21"/>
              </w:rPr>
              <w:t>），在经营活动中无重大违法记录。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参选人出具的、加盖公章的《无重大违法记录声明函》。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A0D893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0F0C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声明函须明确声明期限及事项。此项为初步承诺，将与第4、5项网站查询结果结合判断。</w:t>
            </w:r>
          </w:p>
        </w:tc>
      </w:tr>
      <w:tr w14:paraId="1FDD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257FB3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F78B4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信誉要求（二）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“信用中国”网站记录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D20C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在“信用中国”网站是否被列入失信被执行人、重大税收违法案件当事人名单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及</w:t>
            </w:r>
            <w:r>
              <w:rPr>
                <w:rFonts w:ascii="仿宋" w:hAnsi="仿宋" w:eastAsia="仿宋" w:cs="宋体"/>
                <w:kern w:val="0"/>
                <w:szCs w:val="21"/>
              </w:rPr>
              <w:t>政府采购严重违法失信行为记录名单。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本项目比选公告发布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之日后</w:t>
            </w:r>
            <w:r>
              <w:rPr>
                <w:rFonts w:ascii="仿宋" w:hAnsi="仿宋" w:eastAsia="仿宋" w:cs="宋体"/>
                <w:kern w:val="0"/>
                <w:szCs w:val="21"/>
              </w:rPr>
              <w:t>、参选文件递交截止时间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kern w:val="0"/>
                <w:szCs w:val="21"/>
              </w:rPr>
              <w:t>的查询结果网页截图（加盖公章）。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73882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52BA3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截图须清晰显示查询日期、被查询单位全称及“未发现”等结果。查询日期不在上述期间，或显示存在相关失信记录的，为不通过。</w:t>
            </w:r>
          </w:p>
        </w:tc>
      </w:tr>
      <w:tr w14:paraId="01C4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4AB5D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444F5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信誉要求（三）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“中国政府采购网”记录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DF40A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在“中国政府采购网”是否被列入政府采购严重违法失信行为记录名单（处罚期限尚未届满）。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本项目比选公告发布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之日后</w:t>
            </w:r>
            <w:r>
              <w:rPr>
                <w:rFonts w:ascii="仿宋" w:hAnsi="仿宋" w:eastAsia="仿宋" w:cs="宋体"/>
                <w:kern w:val="0"/>
                <w:szCs w:val="21"/>
              </w:rPr>
              <w:t>、参选文件递交截止时间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kern w:val="0"/>
                <w:szCs w:val="21"/>
              </w:rPr>
              <w:t>的查询结果网页截图（加盖公章）。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3300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BB544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同第4项要求。</w:t>
            </w:r>
          </w:p>
        </w:tc>
      </w:tr>
      <w:tr w14:paraId="7314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1B89E8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6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23248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非联合体参选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963F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是否承诺不以联合体形式参与本项目。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参选文件中关于“非联合体参选”的书面声明或承诺函（加盖公章）。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DE69F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85112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声明应明确表述“我公司（本单位）承诺不以联合体形式参与本项目”。若无此项声明，为不通过。</w:t>
            </w:r>
          </w:p>
        </w:tc>
      </w:tr>
    </w:tbl>
    <w:p w14:paraId="1A617F8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资格性审查总体结论记录表</w:t>
      </w:r>
    </w:p>
    <w:p w14:paraId="49FCF53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633226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请根据上表对每家参选人进行逐项审查，并在评审会议记录中载明各分项结论。</w:t>
      </w:r>
    </w:p>
    <w:p w14:paraId="0F44BD0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完成逐项审查后，根据评审原则（有一项不通过则总体不通过），在本表记录总体结论。</w:t>
      </w:r>
    </w:p>
    <w:p w14:paraId="17C6FD5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对结论为“不通过”的参选人，必须在“不通过原因说明”栏中，清晰、具体地注明所违反的审查项目序号及事实依据。</w:t>
      </w:r>
    </w:p>
    <w:tbl>
      <w:tblPr>
        <w:tblStyle w:val="2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3828"/>
        <w:gridCol w:w="1842"/>
        <w:gridCol w:w="3402"/>
      </w:tblGrid>
      <w:tr w14:paraId="76E2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B8F19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8864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D736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总体审查结论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9F3C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不通过原因说明 (仅当结论为“不通过”时填写)</w:t>
            </w:r>
          </w:p>
        </w:tc>
      </w:tr>
      <w:tr w14:paraId="2794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5EB59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1FC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715A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0A3E48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9875C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79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1DB0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6F040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EF8DB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33ECB5E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7A85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1A0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4A04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D47C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199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49F57E4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E32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8A4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0702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419D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898D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E76DC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3FDF393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我们确认，已根据比选文件规定的资格要求，对所有参选人进行了公平、公正的审查，并依据评审原则形成上述总体结论。</w:t>
      </w:r>
    </w:p>
    <w:p w14:paraId="20259FDC"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3343B"/>
    <w:multiLevelType w:val="multilevel"/>
    <w:tmpl w:val="5F1334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80430"/>
    <w:rsid w:val="6F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2026-04-09T08:00:00Z</dcterms:created>
  <dc:creator>Lyn</dc:creator>
  <cp:lastModifiedBy>Lyn</cp:lastModifiedBy>
  <dcterms:modified xsi:type="dcterms:W3CDTF">2026-04-09T08:01:37Z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1A96F81BE1624E3E94EB5221188D3156_11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