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615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038DA3D8">
      <w:pPr>
        <w:widowControl/>
        <w:shd w:val="clear" w:color="auto" w:fill="FFFFFF"/>
        <w:autoSpaceDE w:val="0"/>
        <w:autoSpaceDN w:val="0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 xml:space="preserve">首都医科大学附属北京口腔医院职业健康体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 xml:space="preserve">  </w:t>
      </w:r>
    </w:p>
    <w:p w14:paraId="5C238F3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检服务项目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985"/>
        <w:gridCol w:w="4841"/>
        <w:gridCol w:w="755"/>
        <w:gridCol w:w="930"/>
      </w:tblGrid>
      <w:tr w14:paraId="3D73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0AEB10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评分部分</w:t>
            </w: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5444AF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EF96F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513A59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96917">
            <w:pPr>
              <w:widowControl/>
              <w:jc w:val="left"/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分值属性</w:t>
            </w:r>
          </w:p>
        </w:tc>
      </w:tr>
      <w:tr w14:paraId="565E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8AC31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价格部分 (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1F81C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参选报价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E24E6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 xml:space="preserve">满足比选文件要求且参选价格最低的报价为评审基准价，其价格分为满分10分。其他参选人的价格分统一按照下列公式计算：价格得分 = (评审基准价 / 参选报价) × 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。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38C3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D82F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4E7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F311B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商务部分 (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396C6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同类项目业绩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CBD2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kern w:val="0"/>
                <w:sz w:val="24"/>
                <w:szCs w:val="24"/>
              </w:rPr>
              <w:t>提供自本项目比选公告发布之日起向前推算三年内签订的，为医疗机构、企事业单位或政府机关提供职业健康体检服务的合同。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基础分（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15</w:t>
            </w: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每提供1个符合要求的有效合同得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分，本项最高得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加分项（最多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bCs/>
                <w:kern w:val="0"/>
                <w:sz w:val="24"/>
                <w:szCs w:val="24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所提供的合同中，若为三级医院提供同类服务的，每个合同可额外加1分，累计加分不超过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（须提供合同关键页复印件，否则不计分）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465B7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20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4A78C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</w:t>
            </w:r>
          </w:p>
        </w:tc>
      </w:tr>
      <w:tr w14:paraId="29B2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2E020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7DD7B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项目团队配置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4AE9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主检医师资质（5分）：配备具备职业病诊断资格的执业医师担任主检，得5分。（提供医师资格证书、执业证书及职业病诊断资格证明复印件）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</w:t>
            </w:r>
            <w:r>
              <w:rPr>
                <w:rFonts w:ascii="Calibri" w:hAnsi="Calibri" w:eastAsia="仿宋" w:cs="Calibri"/>
                <w:color w:val="0F1115"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核心团队配置（5分）：针对本项目涉及的职业危害因素（如放射、化学毒物、粉尘、噪声等），承诺配备相应专业的体检医师团队（如放射科、耳鼻喉科、内科等）。提供团队名单及相应专业资质证明，配置齐全合理得5分；基本齐全得3分；有缺失得0分。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5D60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10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23A32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客观/主观</w:t>
            </w:r>
          </w:p>
        </w:tc>
      </w:tr>
      <w:tr w14:paraId="3CF2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3C98C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技术部分 (</w:t>
            </w: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60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分)</w:t>
            </w: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3E69A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体检服务方案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DBC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根据对医院需求（约49人岗中+5人上岗前）的理解、体检流程设计的合理性、员工隐私保护措施的完备性进行综合评定：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优秀（15分）：理解深刻，流程设计科学、便捷，隐私保护措施完善。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良好（10分）：理解准确，流程合理，有隐私保护意识。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一般（5分）：理解基本正确，流程大致可行，隐私保护考虑一般。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63FC0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22BB8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3C87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24CCC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EECE7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质量控制方案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3E56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根据确保体检结果准确性、报告合法合规性的质量控制体系进行评定：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优秀（15分）：有完善的质量控制流程（如设备校准、结果复核、异常值审核等），承诺100%按照国家规范出具合法有效报告。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良好（10分）：有基本的质量控制措施，承诺出具合法报告。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一般（5分）：质量控制措施描述模糊。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9D01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9BB62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08EA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53D23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144A1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档案管理与信息化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D09EB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根据为医院提供电子/纸质健康档案、完成数据上报的能力进行评定：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优秀（15分）：提供专业的职业健康档案管理系统，能与医院现有系统或上级监管平台顺畅对接，档案管理规范、安全。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良好（10分）：能够按要求建立并管理职业健康档案，数据上报承诺明确。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一般（5分）：档案管理和数据上报方案不够清晰。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6383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FE172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6967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0C528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D64D4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服务便捷性与应急预案</w:t>
            </w: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8A62F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1. 服务便捷性（8分）：根据供应商体检场地与采购人单位的距离、公共交通便捷程度进行综合评价。场地距离采购人单位10公里以内，且位于地铁站或主要公交线路沿线500米范围内，得8分；其他情况酌情给分。（需提供场地具体位置及交通说明）</w:t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2. 应急预案（7分）：针对体检高峰期、设备故障、突发公共卫生事件等制定详细可行的应急预案，得7分；预案基本完整得3分；无预案或明显不可行得0分。</w:t>
            </w: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5740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/>
                <w:color w:val="0F1115"/>
                <w:kern w:val="0"/>
                <w:sz w:val="24"/>
                <w:szCs w:val="24"/>
              </w:rPr>
              <w:t>15</w:t>
            </w:r>
          </w:p>
        </w:tc>
        <w:tc>
          <w:tcPr>
            <w:tcW w:w="93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ACAE0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  <w:t>主观</w:t>
            </w:r>
          </w:p>
        </w:tc>
      </w:tr>
      <w:tr w14:paraId="7EAD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B9617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总评分</w:t>
            </w:r>
          </w:p>
        </w:tc>
        <w:tc>
          <w:tcPr>
            <w:tcW w:w="98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243E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AF2C25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1BDC0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24"/>
                <w:szCs w:val="24"/>
              </w:rPr>
              <w:t>100分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000D343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7FE094A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 w:val="24"/>
          <w:szCs w:val="24"/>
        </w:rPr>
      </w:pPr>
    </w:p>
    <w:p w14:paraId="7EC3A8C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137DBEC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786AD1C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583FEF9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7C82CFC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E3C9A11">
      <w:pPr>
        <w:shd w:val="clear" w:color="auto" w:fill="FFFFFF"/>
        <w:autoSpaceDE w:val="0"/>
        <w:autoSpaceDN w:val="0"/>
        <w:spacing w:line="520" w:lineRule="exact"/>
        <w:contextualSpacing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4FBFB20">
      <w:pPr>
        <w:spacing w:line="520" w:lineRule="exact"/>
        <w:contextualSpacing/>
      </w:pPr>
    </w:p>
    <w:p w14:paraId="23673CF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7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2026-03-25T06:18:12Z</dcterms:created>
  <dc:creator>27934</dc:creator>
  <cp:lastModifiedBy>闫禾</cp:lastModifiedBy>
  <dcterms:modified xsi:type="dcterms:W3CDTF">2026-03-25T06:18:14Z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8F241DF64E15445D8590365F0A6E6687_12</vt:lpwstr>
  </property>
</Properties>
</file>