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68F4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附件六：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  <w:bookmarkStart w:id="0" w:name="_GoBack"/>
      <w:bookmarkEnd w:id="0"/>
    </w:p>
    <w:p w14:paraId="2FDEBB6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ascii="Calibri" w:hAnsi="Calibri" w:eastAsia="仿宋" w:cs="Calibri"/>
          <w:color w:val="0F1115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/>
          <w:color w:val="0F1115"/>
          <w:sz w:val="32"/>
          <w:szCs w:val="32"/>
          <w:shd w:val="clear" w:color="auto" w:fill="FFFFFF"/>
        </w:rPr>
        <w:t>北京口腔医院避雷检测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服务项目</w:t>
      </w:r>
    </w:p>
    <w:tbl>
      <w:tblPr>
        <w:tblStyle w:val="2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1020"/>
        <w:gridCol w:w="5119"/>
        <w:gridCol w:w="806"/>
        <w:gridCol w:w="795"/>
      </w:tblGrid>
      <w:tr w14:paraId="559D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FA0450">
            <w:pPr>
              <w:widowControl/>
              <w:jc w:val="center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评分部分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0990B4">
            <w:pPr>
              <w:widowControl/>
              <w:jc w:val="center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评分因素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F30731">
            <w:pPr>
              <w:widowControl/>
              <w:jc w:val="center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9C194F">
            <w:pPr>
              <w:widowControl/>
              <w:jc w:val="center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分值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7BCC93">
            <w:pPr>
              <w:widowControl/>
              <w:jc w:val="center"/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分值属性</w:t>
            </w:r>
          </w:p>
        </w:tc>
      </w:tr>
      <w:tr w14:paraId="5733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0D800B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价格部分 (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EDF5A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参选报价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2406E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满足比选文件要求且参选价格最低的报价为评审基准价，其价格分为满分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20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分。其他参选人的价格分统一按照下列公式计算：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价格得分 = (评审基准价 / 参选报价) ×</w:t>
            </w:r>
            <w:r>
              <w:rPr>
                <w:rFonts w:hint="eastAsia"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分值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C39A0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48566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726B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3EE9E1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商务部分 (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BD7EC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同类项目业绩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6132D7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提供自本项目比选公告发布之日起向前推算三年内，参选人独立完成的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防雷检测类项目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业绩。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提供4个及以上有效合同。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提供2-3个有效合同。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提供1个有效合同。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较差（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未提供或提供无效合同。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（注：须提供合同关键页及对应的验收证明或结算凭证复印件，否则该业绩不计分）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B0627B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D667DA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26CE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ACD44E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0B46C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项目团队配置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4C9E42"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基本配置（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2.5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分，客观分）：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提供为本项目配备的项目负责人及检测人员的名单、简历及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从业年限证明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。人员配置齐全且满足“从事雷电防护装置检测工作4年以上”要求，得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2.5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分；</w:t>
            </w:r>
          </w:p>
          <w:p w14:paraId="5C0A5B89"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团队资质（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2.5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分，客观分）：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团队人员中，每提供一人具备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中级及以上防雷、电气或相关专业技术职称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的，得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0.5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分，最高得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2.5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分。（需提供职称证书复印件）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9B870C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F24D9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5B87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392323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2CF76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文件编制质量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C9364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参选文件根据比选文件要求的内容和格式编制，制作规范、完整；文字、签字、盖章、复印件清晰。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参选文件制作较为规范、完整；文字、签字、盖章、复印件较为清晰。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参选文件制作不够规范、完整；文字、签字、盖章、复印件不够清晰。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7AD234">
            <w:pPr>
              <w:widowControl/>
              <w:jc w:val="left"/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E77A53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7AF8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459D8D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技术部分 (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60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分)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C6F07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检测实施方案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03000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对项目需求理解深刻，检测流程设计科学、合理，能完整覆盖所有检测区域（特别是易燃易爆场所的半年检要求），检测计划（工期）详实可行，对医院正常运营的干扰控制措施具体有效。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对项目需求理解准确，检测流程合理，能覆盖所有检测区域，检测计划可行。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对项目需求理解基本正确，检测流程大致可行，但存在细节缺失。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较差（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方案存在明显缺陷或不可行。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5313A1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E3E22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10DE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B1DAA3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2FD05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技术标准与质量保障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7F8FE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承诺并详细阐述如何严格遵循主需求文件所列的全部8项国家标准，检测仪器先进、检定有效，质量保障体系完善，检测数据复核流程严谨。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承诺遵循主要国家标准，有基本的质量保障措施。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提及了相关标准，但保障措施不具体。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较差（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未提及标准或保障措施。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3BF1E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8681A25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747D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0A59FE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3935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安全保障与应急预案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891D88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具有完善的安全管理体系，针对高空作业、雷雨天气等特殊情况制定了详细、可操作性强的安全防护措施和应急预案。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有基本的安全保障措施和应急预案。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提及了安全要求，但措施不具体。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较差（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未提供相关方案。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9B8FDC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4AA11A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637E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E2B752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D7A669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后续服务与承诺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1AD374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优秀（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承诺提供及时、有效的后续咨询服务，对检测报告中提出的问题进行解释说明，对质保期内的复检需求响应迅速，服务方案具体。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良好（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有基本的后续服务承诺。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一般（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后续服务承诺不明确。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较差（</w:t>
            </w: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0</w:t>
            </w: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分）：</w:t>
            </w:r>
            <w:r>
              <w:rPr>
                <w:rFonts w:ascii="Calibri" w:hAnsi="Calibri" w:eastAsia="仿宋" w:cs="Calibri"/>
                <w:color w:val="0F1115"/>
                <w:kern w:val="0"/>
                <w:sz w:val="18"/>
                <w:szCs w:val="18"/>
              </w:rPr>
              <w:t> </w:t>
            </w: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未提供售后服务方案。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D2F850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Segoe UI"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03AC42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4852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7D32D8">
            <w:pPr>
              <w:widowControl/>
              <w:jc w:val="center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总评分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D61EED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49EF87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A6D66E">
            <w:pPr>
              <w:widowControl/>
              <w:jc w:val="left"/>
              <w:rPr>
                <w:rFonts w:ascii="仿宋" w:hAnsi="仿宋" w:eastAsia="仿宋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Segoe UI"/>
                <w:bCs/>
                <w:color w:val="0F1115"/>
                <w:kern w:val="0"/>
                <w:sz w:val="18"/>
                <w:szCs w:val="18"/>
              </w:rPr>
              <w:t>100分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5B5DCA95">
            <w:pPr>
              <w:widowControl/>
              <w:jc w:val="left"/>
              <w:rPr>
                <w:rFonts w:ascii="仿宋" w:hAnsi="仿宋" w:eastAsia="仿宋"/>
                <w:kern w:val="0"/>
                <w:sz w:val="18"/>
                <w:szCs w:val="18"/>
              </w:rPr>
            </w:pPr>
          </w:p>
        </w:tc>
      </w:tr>
    </w:tbl>
    <w:p w14:paraId="45F58B8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</w:rPr>
        <w:t>评审委员会确认：</w:t>
      </w:r>
    </w:p>
    <w:p w14:paraId="4FFCC8B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6F52273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 xml:space="preserve">评审员（签字）：__________ __________ __________ </w:t>
      </w:r>
    </w:p>
    <w:p w14:paraId="31DF825D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</w:rPr>
      </w:pPr>
      <w:r>
        <w:rPr>
          <w:rFonts w:ascii="仿宋" w:hAnsi="仿宋" w:eastAsia="仿宋" w:cs="Segoe UI"/>
          <w:color w:val="0F1115"/>
          <w:kern w:val="0"/>
          <w:sz w:val="24"/>
        </w:rPr>
        <w:t>日 期：__________年______月______日</w:t>
      </w:r>
    </w:p>
    <w:p w14:paraId="08621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CA0E4"/>
    <w:multiLevelType w:val="singleLevel"/>
    <w:tmpl w:val="B90CA0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E1696"/>
    <w:rsid w:val="08977049"/>
    <w:rsid w:val="20174E36"/>
    <w:rsid w:val="632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2026-03-17T07:57:00Z</dcterms:created>
  <dc:creator>Lyn</dc:creator>
  <cp:lastModifiedBy>Lyn</cp:lastModifiedBy>
  <dcterms:modified xsi:type="dcterms:W3CDTF">2026-03-17T07:59:15Z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0DEBECA4D7224390A5D981314F74E834_13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