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12058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b/>
          <w:bCs/>
          <w:sz w:val="32"/>
          <w:szCs w:val="32"/>
        </w:rPr>
      </w:pPr>
      <w:r>
        <w:rPr>
          <w:rFonts w:ascii="仿宋" w:hAnsi="仿宋" w:eastAsia="仿宋" w:cs="Segoe UI"/>
          <w:b/>
          <w:bCs/>
          <w:sz w:val="32"/>
          <w:szCs w:val="32"/>
        </w:rPr>
        <w:t>附件</w:t>
      </w:r>
      <w:r>
        <w:rPr>
          <w:rFonts w:hint="eastAsia" w:ascii="仿宋" w:hAnsi="仿宋" w:eastAsia="仿宋" w:cs="Segoe UI"/>
          <w:b/>
          <w:bCs/>
          <w:sz w:val="32"/>
          <w:szCs w:val="32"/>
        </w:rPr>
        <w:t>五</w:t>
      </w:r>
      <w:r>
        <w:rPr>
          <w:rFonts w:ascii="仿宋" w:hAnsi="仿宋" w:eastAsia="仿宋" w:cs="Segoe UI"/>
          <w:b/>
          <w:bCs/>
          <w:sz w:val="32"/>
          <w:szCs w:val="32"/>
        </w:rPr>
        <w:t>：符合性审查表</w:t>
      </w:r>
    </w:p>
    <w:p w14:paraId="142F34B7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 w:val="24"/>
        </w:rPr>
      </w:pPr>
      <w:r>
        <w:rPr>
          <w:rFonts w:ascii="仿宋" w:hAnsi="仿宋" w:eastAsia="仿宋" w:cs="Segoe UI"/>
          <w:bCs/>
          <w:color w:val="0F1115"/>
          <w:kern w:val="0"/>
          <w:sz w:val="24"/>
        </w:rPr>
        <w:t>项目名称：</w:t>
      </w:r>
      <w:r>
        <w:rPr>
          <w:rFonts w:ascii="Calibri" w:hAnsi="Calibri" w:eastAsia="仿宋" w:cs="Calibri"/>
          <w:color w:val="0F1115"/>
          <w:kern w:val="0"/>
          <w:sz w:val="24"/>
        </w:rPr>
        <w:t> </w:t>
      </w:r>
      <w:r>
        <w:rPr>
          <w:rFonts w:hint="eastAsia" w:ascii="仿宋" w:hAnsi="仿宋" w:eastAsia="仿宋" w:cs="Segoe UI"/>
          <w:bCs/>
          <w:color w:val="0F1115"/>
          <w:sz w:val="24"/>
          <w:shd w:val="clear" w:color="auto" w:fill="FFFFFF"/>
        </w:rPr>
        <w:t>北京口腔医院避雷检测</w:t>
      </w:r>
      <w:r>
        <w:rPr>
          <w:rFonts w:ascii="仿宋" w:hAnsi="仿宋" w:eastAsia="仿宋" w:cs="Segoe UI"/>
          <w:bCs/>
          <w:color w:val="0F1115"/>
          <w:sz w:val="24"/>
          <w:shd w:val="clear" w:color="auto" w:fill="FFFFFF"/>
        </w:rPr>
        <w:t>服务项目</w:t>
      </w:r>
      <w:r>
        <w:rPr>
          <w:rFonts w:ascii="仿宋" w:hAnsi="仿宋" w:eastAsia="仿宋" w:cs="Segoe UI"/>
          <w:color w:val="0F1115"/>
          <w:kern w:val="0"/>
          <w:sz w:val="24"/>
        </w:rPr>
        <w:br w:type="textWrapping"/>
      </w:r>
      <w:r>
        <w:rPr>
          <w:rFonts w:ascii="仿宋" w:hAnsi="仿宋" w:eastAsia="仿宋" w:cs="Segoe UI"/>
          <w:bCs/>
          <w:color w:val="0F1115"/>
          <w:kern w:val="0"/>
          <w:sz w:val="24"/>
        </w:rPr>
        <w:t>评审原则：</w:t>
      </w:r>
      <w:r>
        <w:rPr>
          <w:rFonts w:ascii="Calibri" w:hAnsi="Calibri" w:eastAsia="仿宋" w:cs="Calibri"/>
          <w:color w:val="0F1115"/>
          <w:kern w:val="0"/>
          <w:sz w:val="24"/>
        </w:rPr>
        <w:t> </w:t>
      </w:r>
      <w:r>
        <w:rPr>
          <w:rFonts w:ascii="仿宋" w:hAnsi="仿宋" w:eastAsia="仿宋" w:cs="Segoe UI"/>
          <w:color w:val="0F1115"/>
          <w:kern w:val="0"/>
          <w:sz w:val="24"/>
        </w:rPr>
        <w:t>任一参选人在下述1-5项审查中，有任一项结论为“不符合”，或其响应存在对项目核心需求的实质性负偏离，则其符合性审查总体结论为“不符合”，不得进入综合评分阶段。</w:t>
      </w:r>
    </w:p>
    <w:tbl>
      <w:tblPr>
        <w:tblStyle w:val="2"/>
        <w:tblW w:w="9923" w:type="dxa"/>
        <w:tblInd w:w="-7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9"/>
        <w:gridCol w:w="1560"/>
        <w:gridCol w:w="3543"/>
        <w:gridCol w:w="1843"/>
        <w:gridCol w:w="2268"/>
      </w:tblGrid>
      <w:tr w14:paraId="0ACB4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709" w:type="dxa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077F63B">
            <w:pPr>
              <w:widowControl/>
              <w:spacing w:line="520" w:lineRule="exact"/>
              <w:contextualSpacing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序号</w:t>
            </w:r>
          </w:p>
        </w:tc>
        <w:tc>
          <w:tcPr>
            <w:tcW w:w="1560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98ED6C5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审查项目</w:t>
            </w:r>
          </w:p>
        </w:tc>
        <w:tc>
          <w:tcPr>
            <w:tcW w:w="3543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090BA62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审查标准与审查要点</w:t>
            </w:r>
          </w:p>
        </w:tc>
        <w:tc>
          <w:tcPr>
            <w:tcW w:w="1843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D520C59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审查结论（符合/不符合）</w:t>
            </w:r>
          </w:p>
        </w:tc>
        <w:tc>
          <w:tcPr>
            <w:tcW w:w="2268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833295C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备注</w:t>
            </w:r>
          </w:p>
        </w:tc>
      </w:tr>
      <w:tr w14:paraId="5C87F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678B21B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1</w:t>
            </w:r>
          </w:p>
        </w:tc>
        <w:tc>
          <w:tcPr>
            <w:tcW w:w="1560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7FBAC03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报价要求</w:t>
            </w:r>
          </w:p>
        </w:tc>
        <w:tc>
          <w:tcPr>
            <w:tcW w:w="3543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98C8ED1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审查标准：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kern w:val="0"/>
                <w:szCs w:val="21"/>
              </w:rPr>
              <w:t>是否按“总价包干”方式进行整体报价，且只报一个不超过最高限价的总价。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审查要点：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1. 报价函或应答一览表中的报价是否为唯一、确定的总价。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2. 该总价是否明确为“总价包干”或“包干价”。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3. 该总价是否未超过人民币60,000元的最高限价。</w:t>
            </w:r>
          </w:p>
        </w:tc>
        <w:tc>
          <w:tcPr>
            <w:tcW w:w="1843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796D048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2268" w:type="dxa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819FE57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若报价为分项报价汇总，但明确总价包干且未超限价，可视为符合。报价超过最高限价为不符合。</w:t>
            </w:r>
          </w:p>
        </w:tc>
      </w:tr>
      <w:tr w14:paraId="6568E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40BB562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2</w:t>
            </w:r>
          </w:p>
        </w:tc>
        <w:tc>
          <w:tcPr>
            <w:tcW w:w="1560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C687543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文件格式</w:t>
            </w:r>
          </w:p>
        </w:tc>
        <w:tc>
          <w:tcPr>
            <w:tcW w:w="3543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70D61CF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审查标准：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kern w:val="0"/>
                <w:szCs w:val="21"/>
              </w:rPr>
              <w:t>参选文件的编制、装订及签署盖章是否符合比选文件要求。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审查要点：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1. 是否编制目录及页码。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2. 是否牢固装订成册（如胶装）。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3. 关键页（如资格证明、报价函、服务方案、业绩证明等）及正文每页是否均由法定代表人或授权代表签字并加盖单位公章。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4. 整本文件侧边是否加盖骑缝章。</w:t>
            </w:r>
          </w:p>
        </w:tc>
        <w:tc>
          <w:tcPr>
            <w:tcW w:w="1843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06BCD22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2268" w:type="dxa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F3F6B2B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轻微瑕疵（如非关键页漏签章）可要求澄清，若影响文件法律效力或严重不符合格式要求，可判定为不符合。</w:t>
            </w:r>
          </w:p>
        </w:tc>
      </w:tr>
      <w:tr w14:paraId="1A739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EAE6C4D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3</w:t>
            </w:r>
          </w:p>
        </w:tc>
        <w:tc>
          <w:tcPr>
            <w:tcW w:w="1560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43A867B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报价表填写</w:t>
            </w:r>
          </w:p>
        </w:tc>
        <w:tc>
          <w:tcPr>
            <w:tcW w:w="3543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CA2AFE8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审查标准：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kern w:val="0"/>
                <w:szCs w:val="21"/>
              </w:rPr>
              <w:t>是否按规定的报价表格式填写，内容完整、清晰、无矛盾。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审查要点：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1. 是否使用了比选文件提供的报价表格式或其认可的等效格式。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2. 服务名称、单价、数量、总价、汇总金额等栏目是否填写完整、清晰。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3. 分项报价汇总是否与总价一致。</w:t>
            </w:r>
          </w:p>
        </w:tc>
        <w:tc>
          <w:tcPr>
            <w:tcW w:w="1843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7387D6E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2268" w:type="dxa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1E4E40B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填写模糊、矛盾或未使用规定格式，导致无法明确报价内容的，可视为不符合。</w:t>
            </w:r>
          </w:p>
        </w:tc>
      </w:tr>
      <w:tr w14:paraId="22DEB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FC0129E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4</w:t>
            </w:r>
          </w:p>
        </w:tc>
        <w:tc>
          <w:tcPr>
            <w:tcW w:w="1560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FE4B08B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服务方案与人员配置</w:t>
            </w:r>
          </w:p>
        </w:tc>
        <w:tc>
          <w:tcPr>
            <w:tcW w:w="3543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008A05E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. 服务方案：是否涵盖主需求文件‘五、服务内容及要求概要’中所述的全部检测范围、检测内容和技术标准。2. 人员配置：是否明确配备了符合要求的项目人员，并提供了相关人员从事雷电防护装置检测工作4年以上的证明。3. 实质性负偏离：是否对项目核心需求（如检测范围、工期、质量标准等）存在删减、否定或无法满足的响应。</w:t>
            </w:r>
          </w:p>
        </w:tc>
        <w:tc>
          <w:tcPr>
            <w:tcW w:w="1843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E69FF28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2268" w:type="dxa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5266547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服务方案、人员配置等核心内容是否实质性响应项目需求，无重大负偏离。</w:t>
            </w:r>
          </w:p>
        </w:tc>
      </w:tr>
      <w:tr w14:paraId="754D2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FC6658E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5</w:t>
            </w:r>
          </w:p>
        </w:tc>
        <w:tc>
          <w:tcPr>
            <w:tcW w:w="1560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8E32298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有效期</w:t>
            </w:r>
          </w:p>
        </w:tc>
        <w:tc>
          <w:tcPr>
            <w:tcW w:w="3543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79D8B6E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审查标准：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kern w:val="0"/>
                <w:szCs w:val="21"/>
              </w:rPr>
              <w:t>参选文件中所涉及的各类承诺、声明、证书、证明等文件是否均在规定的有效期内。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审查要点：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1. 授权委托书（如适用）是否在授权有效期内。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2. 提供的专业人员资格证书、检测仪器检定证书等（如有）是否在有效期内。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3. 所有承诺函、声明函是否载明有效期或为长期有效。</w:t>
            </w:r>
          </w:p>
        </w:tc>
        <w:tc>
          <w:tcPr>
            <w:tcW w:w="1843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AF19EAD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2268" w:type="dxa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6C08716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主要审查文件中明确载明有效期的材料。营业执照等通常视为长期有效，除非已过登记机关标注的营业期限。</w:t>
            </w:r>
          </w:p>
        </w:tc>
      </w:tr>
    </w:tbl>
    <w:p w14:paraId="71AB5BAE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bCs/>
          <w:color w:val="0F1115"/>
          <w:kern w:val="0"/>
          <w:szCs w:val="21"/>
        </w:rPr>
        <w:t>符合性审查总体结论记录表</w:t>
      </w:r>
    </w:p>
    <w:p w14:paraId="28F1EED6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bCs/>
          <w:color w:val="0F1115"/>
          <w:kern w:val="0"/>
          <w:szCs w:val="21"/>
        </w:rPr>
        <w:t>评审员填写指引：</w:t>
      </w:r>
    </w:p>
    <w:p w14:paraId="3FC68E18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请根据上表对每家参选人进行逐项审查，并在对应“审查结论”栏勾选“符合”或“不符合”。</w:t>
      </w:r>
    </w:p>
    <w:p w14:paraId="05BEBF27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完成逐项审查后，根据评审原则，在本表记录总体结论。</w:t>
      </w:r>
    </w:p>
    <w:p w14:paraId="39539DD0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对结论为“不符合”的参选人，必须在“不符合原因说明”栏中，清晰、具体地注明所违反的审查项目序号及事实依据。</w:t>
      </w:r>
    </w:p>
    <w:tbl>
      <w:tblPr>
        <w:tblStyle w:val="2"/>
        <w:tblW w:w="0" w:type="auto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3"/>
        <w:gridCol w:w="2725"/>
        <w:gridCol w:w="1404"/>
        <w:gridCol w:w="3349"/>
      </w:tblGrid>
      <w:tr w14:paraId="09954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D37809B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评审顺序号</w:t>
            </w:r>
          </w:p>
        </w:tc>
        <w:tc>
          <w:tcPr>
            <w:tcW w:w="0" w:type="auto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6D34A05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参选人名称</w:t>
            </w:r>
          </w:p>
        </w:tc>
        <w:tc>
          <w:tcPr>
            <w:tcW w:w="1404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4AEB471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总体结论</w:t>
            </w:r>
          </w:p>
        </w:tc>
        <w:tc>
          <w:tcPr>
            <w:tcW w:w="3349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F911131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不</w:t>
            </w:r>
            <w:bookmarkStart w:id="0" w:name="_GoBack"/>
            <w:bookmarkEnd w:id="0"/>
            <w:r>
              <w:rPr>
                <w:rFonts w:ascii="仿宋" w:hAnsi="仿宋" w:eastAsia="仿宋" w:cs="宋体"/>
                <w:bCs/>
                <w:kern w:val="0"/>
                <w:szCs w:val="21"/>
              </w:rPr>
              <w:t>符合原因说明 (仅当结论为“不符合”时填写)</w:t>
            </w:r>
          </w:p>
        </w:tc>
      </w:tr>
      <w:tr w14:paraId="5D785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814E5BD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1</w:t>
            </w:r>
          </w:p>
        </w:tc>
        <w:tc>
          <w:tcPr>
            <w:tcW w:w="0" w:type="auto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4BA9790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04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8BC610B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 </w:t>
            </w:r>
          </w:p>
          <w:p w14:paraId="2A61ECD4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3349" w:type="dxa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5C553A9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56DB4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DE17637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2</w:t>
            </w:r>
          </w:p>
        </w:tc>
        <w:tc>
          <w:tcPr>
            <w:tcW w:w="0" w:type="auto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C910784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04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50DE465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 </w:t>
            </w:r>
          </w:p>
          <w:p w14:paraId="1D42F8B1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3349" w:type="dxa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A9F8455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16350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2A36DCE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3</w:t>
            </w:r>
          </w:p>
        </w:tc>
        <w:tc>
          <w:tcPr>
            <w:tcW w:w="0" w:type="auto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E7AAF40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04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7377BCC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 </w:t>
            </w:r>
          </w:p>
          <w:p w14:paraId="68ED23A4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3349" w:type="dxa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2EE82AB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3875A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1062382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…</w:t>
            </w:r>
          </w:p>
        </w:tc>
        <w:tc>
          <w:tcPr>
            <w:tcW w:w="0" w:type="auto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66B4BDA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（可根据实际参选人数添加行）</w:t>
            </w:r>
          </w:p>
        </w:tc>
        <w:tc>
          <w:tcPr>
            <w:tcW w:w="1404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5F442F7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349" w:type="dxa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8DCE10C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</w:tr>
    </w:tbl>
    <w:p w14:paraId="25815543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bCs/>
          <w:color w:val="0F1115"/>
          <w:kern w:val="0"/>
          <w:szCs w:val="21"/>
        </w:rPr>
        <w:t>评审委员会确认：</w:t>
      </w:r>
      <w:r>
        <w:rPr>
          <w:rFonts w:ascii="仿宋" w:hAnsi="仿宋" w:eastAsia="仿宋" w:cs="Segoe UI"/>
          <w:color w:val="0F1115"/>
          <w:kern w:val="0"/>
          <w:szCs w:val="21"/>
        </w:rPr>
        <w:br w:type="textWrapping"/>
      </w:r>
      <w:r>
        <w:rPr>
          <w:rFonts w:ascii="仿宋" w:hAnsi="仿宋" w:eastAsia="仿宋" w:cs="Segoe UI"/>
          <w:color w:val="0F1115"/>
          <w:kern w:val="0"/>
          <w:szCs w:val="21"/>
        </w:rPr>
        <w:t>我们确认，已根据比选文件规定的符合性审查要求，对所有参选文件进行了审查，并依据评审原则形成上述总体结论。</w:t>
      </w:r>
    </w:p>
    <w:p w14:paraId="7D16E9F3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评审员（签字）：__________ __________ __________ __________</w:t>
      </w:r>
    </w:p>
    <w:p w14:paraId="01B942D6">
      <w:r>
        <w:rPr>
          <w:rFonts w:ascii="仿宋" w:hAnsi="仿宋" w:eastAsia="仿宋" w:cs="Segoe UI"/>
          <w:color w:val="0F1115"/>
          <w:kern w:val="0"/>
          <w:szCs w:val="21"/>
        </w:rPr>
        <w:t>日 期：__________年______月______日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502BAE"/>
    <w:multiLevelType w:val="multilevel"/>
    <w:tmpl w:val="30502BA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294874"/>
    <w:rsid w:val="0A29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2026-03-17T07:57:00Z</dcterms:created>
  <dc:creator>Lyn</dc:creator>
  <cp:lastModifiedBy>Lyn</cp:lastModifiedBy>
  <dcterms:modified xsi:type="dcterms:W3CDTF">2026-03-17T07:58:44Z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2F22FCAA53844C15B4EA82E5C0EE37D2_11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