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DA908">
      <w:pPr>
        <w:widowControl/>
        <w:shd w:val="clear" w:color="auto" w:fill="FFFFFF"/>
        <w:spacing w:line="520" w:lineRule="exact"/>
        <w:contextualSpacing/>
        <w:jc w:val="left"/>
        <w:rPr>
          <w:rFonts w:ascii="仿宋" w:hAnsi="仿宋" w:eastAsia="仿宋"/>
          <w:b/>
          <w:color w:val="0F1115"/>
          <w:sz w:val="32"/>
          <w:szCs w:val="32"/>
          <w:shd w:val="clear" w:color="auto" w:fill="FFFFFF"/>
        </w:rPr>
      </w:pPr>
      <w:bookmarkStart w:id="0" w:name="OLE_LINK8"/>
      <w:bookmarkStart w:id="1" w:name="OLE_LINK9"/>
      <w:r>
        <w:rPr>
          <w:rFonts w:hint="eastAsia" w:ascii="仿宋" w:hAnsi="仿宋" w:eastAsia="仿宋"/>
          <w:b/>
          <w:color w:val="0F1115"/>
          <w:sz w:val="32"/>
          <w:szCs w:val="32"/>
          <w:shd w:val="clear" w:color="auto" w:fill="FFFFFF"/>
        </w:rPr>
        <w:t>附件六：</w:t>
      </w:r>
      <w:bookmarkEnd w:id="0"/>
      <w:bookmarkEnd w:id="1"/>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31A918CB">
      <w:pPr>
        <w:widowControl/>
        <w:shd w:val="clear" w:color="auto" w:fill="FFFFFF"/>
        <w:spacing w:line="520" w:lineRule="exact"/>
        <w:contextualSpacing/>
        <w:jc w:val="left"/>
        <w:rPr>
          <w:rFonts w:ascii="仿宋" w:hAnsi="仿宋" w:eastAsia="仿宋"/>
          <w:color w:val="0F1115"/>
          <w:sz w:val="32"/>
          <w:szCs w:val="32"/>
          <w:shd w:val="clear" w:color="auto" w:fill="FFFFFF"/>
        </w:rPr>
      </w:pPr>
      <w:r>
        <w:rPr>
          <w:rFonts w:ascii="仿宋" w:hAnsi="仿宋" w:eastAsia="仿宋"/>
          <w:color w:val="0F1115"/>
          <w:sz w:val="32"/>
          <w:szCs w:val="32"/>
          <w:shd w:val="clear" w:color="auto" w:fill="FFFFFF"/>
        </w:rPr>
        <w:t>项目名称：</w:t>
      </w:r>
      <w:r>
        <w:rPr>
          <w:rFonts w:hint="eastAsia" w:ascii="仿宋" w:hAnsi="仿宋" w:eastAsia="仿宋"/>
          <w:color w:val="0F1115"/>
          <w:sz w:val="32"/>
          <w:szCs w:val="32"/>
          <w:shd w:val="clear" w:color="auto" w:fill="FFFFFF"/>
        </w:rPr>
        <w:t>口腔专业模拟病人招募与志愿服务项目</w:t>
      </w:r>
    </w:p>
    <w:tbl>
      <w:tblPr>
        <w:tblStyle w:val="2"/>
        <w:tblW w:w="99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1108"/>
        <w:gridCol w:w="1412"/>
        <w:gridCol w:w="5075"/>
        <w:gridCol w:w="1038"/>
        <w:gridCol w:w="1342"/>
      </w:tblGrid>
      <w:tr w14:paraId="08D20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28F4E98A">
            <w:pPr>
              <w:widowControl/>
              <w:jc w:val="left"/>
              <w:rPr>
                <w:rFonts w:ascii="仿宋" w:hAnsi="仿宋" w:eastAsia="仿宋" w:cs="Segoe UI"/>
                <w:color w:val="0F1115"/>
                <w:kern w:val="0"/>
                <w:szCs w:val="21"/>
              </w:rPr>
            </w:pPr>
            <w:r>
              <w:rPr>
                <w:rFonts w:ascii="仿宋" w:hAnsi="仿宋" w:eastAsia="仿宋" w:cs="Segoe UI"/>
                <w:color w:val="0F1115"/>
                <w:kern w:val="0"/>
                <w:szCs w:val="21"/>
              </w:rPr>
              <w:t>评分部分</w:t>
            </w:r>
          </w:p>
        </w:tc>
        <w:tc>
          <w:tcPr>
            <w:tcW w:w="1412" w:type="dxa"/>
            <w:shd w:val="clear" w:color="auto" w:fill="FFFFFF"/>
            <w:tcMar>
              <w:top w:w="150" w:type="dxa"/>
              <w:left w:w="240" w:type="dxa"/>
              <w:bottom w:w="150" w:type="dxa"/>
              <w:right w:w="240" w:type="dxa"/>
            </w:tcMar>
            <w:vAlign w:val="center"/>
          </w:tcPr>
          <w:p w14:paraId="045BB5E2">
            <w:pPr>
              <w:widowControl/>
              <w:jc w:val="left"/>
              <w:rPr>
                <w:rFonts w:ascii="仿宋" w:hAnsi="仿宋" w:eastAsia="仿宋" w:cs="Segoe UI"/>
                <w:color w:val="0F1115"/>
                <w:kern w:val="0"/>
                <w:szCs w:val="21"/>
              </w:rPr>
            </w:pPr>
            <w:r>
              <w:rPr>
                <w:rFonts w:ascii="仿宋" w:hAnsi="仿宋" w:eastAsia="仿宋" w:cs="Segoe UI"/>
                <w:color w:val="0F1115"/>
                <w:kern w:val="0"/>
                <w:szCs w:val="21"/>
              </w:rPr>
              <w:t>评分因素</w:t>
            </w:r>
          </w:p>
        </w:tc>
        <w:tc>
          <w:tcPr>
            <w:tcW w:w="5075" w:type="dxa"/>
            <w:shd w:val="clear" w:color="auto" w:fill="FFFFFF"/>
            <w:tcMar>
              <w:top w:w="150" w:type="dxa"/>
              <w:left w:w="240" w:type="dxa"/>
              <w:bottom w:w="150" w:type="dxa"/>
              <w:right w:w="240" w:type="dxa"/>
            </w:tcMar>
            <w:vAlign w:val="center"/>
          </w:tcPr>
          <w:p w14:paraId="0261AEE8">
            <w:pPr>
              <w:widowControl/>
              <w:jc w:val="left"/>
              <w:rPr>
                <w:rFonts w:ascii="仿宋" w:hAnsi="仿宋" w:eastAsia="仿宋" w:cs="Segoe UI"/>
                <w:color w:val="0F1115"/>
                <w:kern w:val="0"/>
                <w:szCs w:val="21"/>
              </w:rPr>
            </w:pPr>
            <w:r>
              <w:rPr>
                <w:rFonts w:ascii="仿宋" w:hAnsi="仿宋" w:eastAsia="仿宋" w:cs="Segoe UI"/>
                <w:color w:val="0F1115"/>
                <w:kern w:val="0"/>
                <w:szCs w:val="21"/>
              </w:rPr>
              <w:t>评分标准</w:t>
            </w:r>
          </w:p>
        </w:tc>
        <w:tc>
          <w:tcPr>
            <w:tcW w:w="1038" w:type="dxa"/>
            <w:shd w:val="clear" w:color="auto" w:fill="FFFFFF"/>
            <w:tcMar>
              <w:top w:w="150" w:type="dxa"/>
              <w:left w:w="240" w:type="dxa"/>
              <w:bottom w:w="150" w:type="dxa"/>
              <w:right w:w="240" w:type="dxa"/>
            </w:tcMar>
            <w:vAlign w:val="center"/>
          </w:tcPr>
          <w:p w14:paraId="62BBB727">
            <w:pPr>
              <w:widowControl/>
              <w:jc w:val="left"/>
              <w:rPr>
                <w:rFonts w:ascii="仿宋" w:hAnsi="仿宋" w:eastAsia="仿宋" w:cs="Segoe UI"/>
                <w:color w:val="0F1115"/>
                <w:kern w:val="0"/>
                <w:szCs w:val="21"/>
              </w:rPr>
            </w:pPr>
            <w:r>
              <w:rPr>
                <w:rFonts w:ascii="仿宋" w:hAnsi="仿宋" w:eastAsia="仿宋" w:cs="Segoe UI"/>
                <w:color w:val="0F1115"/>
                <w:kern w:val="0"/>
                <w:szCs w:val="21"/>
              </w:rPr>
              <w:t>分值</w:t>
            </w:r>
          </w:p>
        </w:tc>
        <w:tc>
          <w:tcPr>
            <w:tcW w:w="1342" w:type="dxa"/>
            <w:shd w:val="clear" w:color="auto" w:fill="FFFFFF"/>
            <w:tcMar>
              <w:top w:w="150" w:type="dxa"/>
              <w:left w:w="240" w:type="dxa"/>
              <w:bottom w:w="150" w:type="dxa"/>
              <w:right w:w="240" w:type="dxa"/>
            </w:tcMar>
            <w:vAlign w:val="center"/>
          </w:tcPr>
          <w:p w14:paraId="7F261C35">
            <w:pPr>
              <w:widowControl/>
              <w:jc w:val="left"/>
              <w:rPr>
                <w:rFonts w:ascii="仿宋" w:hAnsi="仿宋" w:eastAsia="仿宋" w:cs="Segoe UI"/>
                <w:color w:val="0F1115"/>
                <w:kern w:val="0"/>
                <w:szCs w:val="21"/>
              </w:rPr>
            </w:pPr>
            <w:r>
              <w:rPr>
                <w:rFonts w:ascii="仿宋" w:hAnsi="仿宋" w:eastAsia="仿宋" w:cs="Segoe UI"/>
                <w:color w:val="0F1115"/>
                <w:kern w:val="0"/>
                <w:szCs w:val="21"/>
              </w:rPr>
              <w:t>评分指引</w:t>
            </w:r>
          </w:p>
        </w:tc>
      </w:tr>
      <w:tr w14:paraId="7BC64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79EBF9E3">
            <w:pPr>
              <w:widowControl/>
              <w:jc w:val="left"/>
              <w:rPr>
                <w:rFonts w:ascii="仿宋" w:hAnsi="仿宋" w:eastAsia="仿宋" w:cs="Segoe UI"/>
                <w:color w:val="0F1115"/>
                <w:kern w:val="0"/>
                <w:szCs w:val="21"/>
              </w:rPr>
            </w:pPr>
            <w:r>
              <w:rPr>
                <w:rFonts w:ascii="仿宋" w:hAnsi="仿宋" w:eastAsia="仿宋" w:cs="Segoe UI"/>
                <w:color w:val="0F1115"/>
                <w:kern w:val="0"/>
                <w:szCs w:val="21"/>
              </w:rPr>
              <w:t>价格部分 (</w:t>
            </w:r>
            <w:r>
              <w:rPr>
                <w:rFonts w:hint="eastAsia" w:ascii="仿宋" w:hAnsi="仿宋" w:eastAsia="仿宋" w:cs="Segoe UI"/>
                <w:b/>
                <w:color w:val="0F1115"/>
                <w:kern w:val="0"/>
                <w:szCs w:val="21"/>
              </w:rPr>
              <w:t>10</w:t>
            </w:r>
            <w:r>
              <w:rPr>
                <w:rFonts w:ascii="仿宋" w:hAnsi="仿宋" w:eastAsia="仿宋" w:cs="Segoe UI"/>
                <w:color w:val="0F1115"/>
                <w:kern w:val="0"/>
                <w:szCs w:val="21"/>
              </w:rPr>
              <w:t>分)</w:t>
            </w:r>
          </w:p>
        </w:tc>
        <w:tc>
          <w:tcPr>
            <w:tcW w:w="1412" w:type="dxa"/>
            <w:shd w:val="clear" w:color="auto" w:fill="FFFFFF"/>
            <w:tcMar>
              <w:top w:w="150" w:type="dxa"/>
              <w:left w:w="240" w:type="dxa"/>
              <w:bottom w:w="150" w:type="dxa"/>
              <w:right w:w="240" w:type="dxa"/>
            </w:tcMar>
            <w:vAlign w:val="center"/>
          </w:tcPr>
          <w:p w14:paraId="6FA0511B">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参选报价</w:t>
            </w:r>
          </w:p>
        </w:tc>
        <w:tc>
          <w:tcPr>
            <w:tcW w:w="5075" w:type="dxa"/>
            <w:shd w:val="clear" w:color="auto" w:fill="FFFFFF"/>
            <w:tcMar>
              <w:top w:w="150" w:type="dxa"/>
              <w:left w:w="240" w:type="dxa"/>
              <w:bottom w:w="150" w:type="dxa"/>
              <w:right w:w="240" w:type="dxa"/>
            </w:tcMar>
            <w:vAlign w:val="center"/>
          </w:tcPr>
          <w:p w14:paraId="6FA5AEF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满足比选文件要求且参选价格最低的报价为评审基准价，其价格分为满分10分。其他参选人的价格得分=(评审基准价/参选报价)X10。</w:t>
            </w:r>
          </w:p>
        </w:tc>
        <w:tc>
          <w:tcPr>
            <w:tcW w:w="1038" w:type="dxa"/>
            <w:shd w:val="clear" w:color="auto" w:fill="FFFFFF"/>
            <w:tcMar>
              <w:top w:w="150" w:type="dxa"/>
              <w:left w:w="240" w:type="dxa"/>
              <w:bottom w:w="150" w:type="dxa"/>
              <w:right w:w="240" w:type="dxa"/>
            </w:tcMar>
            <w:vAlign w:val="center"/>
          </w:tcPr>
          <w:p w14:paraId="56C99FA5">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10</w:t>
            </w:r>
          </w:p>
        </w:tc>
        <w:tc>
          <w:tcPr>
            <w:tcW w:w="1342" w:type="dxa"/>
            <w:shd w:val="clear" w:color="auto" w:fill="FFFFFF"/>
            <w:tcMar>
              <w:top w:w="150" w:type="dxa"/>
              <w:left w:w="240" w:type="dxa"/>
              <w:bottom w:w="150" w:type="dxa"/>
              <w:right w:w="0" w:type="dxa"/>
            </w:tcMar>
            <w:vAlign w:val="center"/>
          </w:tcPr>
          <w:p w14:paraId="7746ED0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66CE0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vMerge w:val="restart"/>
            <w:shd w:val="clear" w:color="auto" w:fill="FFFFFF"/>
            <w:tcMar>
              <w:top w:w="150" w:type="dxa"/>
              <w:left w:w="0" w:type="dxa"/>
              <w:bottom w:w="150" w:type="dxa"/>
              <w:right w:w="240" w:type="dxa"/>
            </w:tcMar>
            <w:vAlign w:val="center"/>
          </w:tcPr>
          <w:p w14:paraId="11D400FE">
            <w:pPr>
              <w:widowControl/>
              <w:jc w:val="left"/>
              <w:rPr>
                <w:rFonts w:ascii="仿宋" w:hAnsi="仿宋" w:eastAsia="仿宋" w:cs="Segoe UI"/>
                <w:color w:val="0F1115"/>
                <w:kern w:val="0"/>
                <w:szCs w:val="21"/>
              </w:rPr>
            </w:pPr>
            <w:r>
              <w:rPr>
                <w:rFonts w:ascii="仿宋" w:hAnsi="仿宋" w:eastAsia="仿宋" w:cs="Segoe UI"/>
                <w:color w:val="0F1115"/>
                <w:kern w:val="0"/>
                <w:szCs w:val="21"/>
              </w:rPr>
              <w:t>商务部分 (</w:t>
            </w:r>
            <w:r>
              <w:rPr>
                <w:rFonts w:hint="eastAsia" w:ascii="仿宋" w:hAnsi="仿宋" w:eastAsia="仿宋" w:cs="Segoe UI"/>
                <w:b/>
                <w:color w:val="0F1115"/>
                <w:kern w:val="0"/>
                <w:szCs w:val="21"/>
              </w:rPr>
              <w:t>30</w:t>
            </w:r>
            <w:r>
              <w:rPr>
                <w:rFonts w:ascii="仿宋" w:hAnsi="仿宋" w:eastAsia="仿宋" w:cs="Segoe UI"/>
                <w:color w:val="0F1115"/>
                <w:kern w:val="0"/>
                <w:szCs w:val="21"/>
              </w:rPr>
              <w:t>分)</w:t>
            </w:r>
          </w:p>
        </w:tc>
        <w:tc>
          <w:tcPr>
            <w:tcW w:w="1412" w:type="dxa"/>
            <w:shd w:val="clear" w:color="auto" w:fill="FFFFFF"/>
            <w:tcMar>
              <w:top w:w="150" w:type="dxa"/>
              <w:left w:w="240" w:type="dxa"/>
              <w:bottom w:w="150" w:type="dxa"/>
              <w:right w:w="240" w:type="dxa"/>
            </w:tcMar>
            <w:vAlign w:val="center"/>
          </w:tcPr>
          <w:p w14:paraId="2259D9C4">
            <w:pPr>
              <w:widowControl/>
              <w:jc w:val="left"/>
              <w:rPr>
                <w:rFonts w:ascii="仿宋" w:hAnsi="仿宋" w:eastAsia="仿宋" w:cs="Segoe UI"/>
                <w:color w:val="0F1115"/>
                <w:kern w:val="0"/>
                <w:szCs w:val="21"/>
              </w:rPr>
            </w:pPr>
            <w:r>
              <w:rPr>
                <w:rFonts w:ascii="仿宋" w:hAnsi="仿宋" w:eastAsia="仿宋" w:cs="Segoe UI"/>
                <w:color w:val="0F1115"/>
                <w:kern w:val="0"/>
                <w:szCs w:val="21"/>
              </w:rPr>
              <w:t>同类项目业绩</w:t>
            </w:r>
          </w:p>
        </w:tc>
        <w:tc>
          <w:tcPr>
            <w:tcW w:w="5075" w:type="dxa"/>
            <w:shd w:val="clear" w:color="auto" w:fill="FFFFFF"/>
            <w:tcMar>
              <w:top w:w="150" w:type="dxa"/>
              <w:left w:w="240" w:type="dxa"/>
              <w:bottom w:w="150" w:type="dxa"/>
              <w:right w:w="240" w:type="dxa"/>
            </w:tcMar>
            <w:vAlign w:val="center"/>
          </w:tcPr>
          <w:p w14:paraId="44947BE2">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提供自本比选公告发布之日起向前推算三年内签订的口腔临床测试服务项目合同。每提供1个有效合同得2分，本项最高得10分。(须提供合同关键页及对应的验收证明或结算凭证复印件，否则不计分)一</w:t>
            </w:r>
          </w:p>
        </w:tc>
        <w:tc>
          <w:tcPr>
            <w:tcW w:w="1038" w:type="dxa"/>
            <w:shd w:val="clear" w:color="auto" w:fill="FFFFFF"/>
            <w:tcMar>
              <w:top w:w="150" w:type="dxa"/>
              <w:left w:w="240" w:type="dxa"/>
              <w:bottom w:w="150" w:type="dxa"/>
              <w:right w:w="240" w:type="dxa"/>
            </w:tcMar>
            <w:vAlign w:val="center"/>
          </w:tcPr>
          <w:p w14:paraId="177E806A">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10</w:t>
            </w:r>
          </w:p>
        </w:tc>
        <w:tc>
          <w:tcPr>
            <w:tcW w:w="1342" w:type="dxa"/>
            <w:shd w:val="clear" w:color="auto" w:fill="FFFFFF"/>
            <w:tcMar>
              <w:top w:w="150" w:type="dxa"/>
              <w:left w:w="240" w:type="dxa"/>
              <w:bottom w:w="150" w:type="dxa"/>
              <w:right w:w="0" w:type="dxa"/>
            </w:tcMar>
            <w:vAlign w:val="center"/>
          </w:tcPr>
          <w:p w14:paraId="0EAE9B0D">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0161D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vMerge w:val="continue"/>
            <w:shd w:val="clear" w:color="auto" w:fill="FFFFFF"/>
            <w:tcMar>
              <w:top w:w="150" w:type="dxa"/>
              <w:left w:w="0" w:type="dxa"/>
              <w:bottom w:w="150" w:type="dxa"/>
              <w:right w:w="240" w:type="dxa"/>
            </w:tcMar>
            <w:vAlign w:val="center"/>
          </w:tcPr>
          <w:p w14:paraId="0F908089">
            <w:pPr>
              <w:widowControl/>
              <w:jc w:val="left"/>
              <w:rPr>
                <w:rFonts w:ascii="仿宋" w:hAnsi="仿宋" w:eastAsia="仿宋" w:cs="Segoe UI"/>
                <w:color w:val="0F1115"/>
                <w:kern w:val="0"/>
                <w:szCs w:val="21"/>
              </w:rPr>
            </w:pPr>
          </w:p>
        </w:tc>
        <w:tc>
          <w:tcPr>
            <w:tcW w:w="1412" w:type="dxa"/>
            <w:shd w:val="clear" w:color="auto" w:fill="FFFFFF"/>
            <w:tcMar>
              <w:top w:w="150" w:type="dxa"/>
              <w:left w:w="240" w:type="dxa"/>
              <w:bottom w:w="150" w:type="dxa"/>
              <w:right w:w="240" w:type="dxa"/>
            </w:tcMar>
            <w:vAlign w:val="center"/>
          </w:tcPr>
          <w:p w14:paraId="4445925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资质与认证优势</w:t>
            </w:r>
          </w:p>
        </w:tc>
        <w:tc>
          <w:tcPr>
            <w:tcW w:w="5075" w:type="dxa"/>
            <w:shd w:val="clear" w:color="auto" w:fill="FFFFFF"/>
            <w:tcMar>
              <w:top w:w="150" w:type="dxa"/>
              <w:left w:w="240" w:type="dxa"/>
              <w:bottom w:w="150" w:type="dxa"/>
              <w:right w:w="240" w:type="dxa"/>
            </w:tcMar>
            <w:vAlign w:val="center"/>
          </w:tcPr>
          <w:p w14:paraId="0124F2EE">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CMA资质(10分):供应商具有中国计量认证(CMA)资质，并能提供相关证明材料，得10分。</w:t>
            </w:r>
          </w:p>
          <w:p w14:paraId="45283D02">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2.GCP证书人员(5分):项目团队中拥有GCP证书的人员，每提供1人得1分，满分5分。(须提供证书复印件)</w:t>
            </w:r>
          </w:p>
          <w:p w14:paraId="15F0790E">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ISO认证（5分）：供应商具有有效的ISO 9001质量管理体系认证，并能提供相关证明材料，得5分。</w:t>
            </w:r>
          </w:p>
        </w:tc>
        <w:tc>
          <w:tcPr>
            <w:tcW w:w="1038" w:type="dxa"/>
            <w:shd w:val="clear" w:color="auto" w:fill="FFFFFF"/>
            <w:tcMar>
              <w:top w:w="150" w:type="dxa"/>
              <w:left w:w="240" w:type="dxa"/>
              <w:bottom w:w="150" w:type="dxa"/>
              <w:right w:w="240" w:type="dxa"/>
            </w:tcMar>
            <w:vAlign w:val="center"/>
          </w:tcPr>
          <w:p w14:paraId="5A0EACC4">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24BE4E82">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5D275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11155539">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资源部分(20分)</w:t>
            </w:r>
          </w:p>
        </w:tc>
        <w:tc>
          <w:tcPr>
            <w:tcW w:w="1412" w:type="dxa"/>
            <w:shd w:val="clear" w:color="auto" w:fill="FFFFFF"/>
            <w:tcMar>
              <w:top w:w="150" w:type="dxa"/>
              <w:left w:w="240" w:type="dxa"/>
              <w:bottom w:w="150" w:type="dxa"/>
              <w:right w:w="240" w:type="dxa"/>
            </w:tcMar>
            <w:vAlign w:val="center"/>
          </w:tcPr>
          <w:p w14:paraId="60D3C001">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渠道与资源</w:t>
            </w:r>
          </w:p>
        </w:tc>
        <w:tc>
          <w:tcPr>
            <w:tcW w:w="5075" w:type="dxa"/>
            <w:shd w:val="clear" w:color="auto" w:fill="FFFFFF"/>
            <w:tcMar>
              <w:top w:w="150" w:type="dxa"/>
              <w:left w:w="240" w:type="dxa"/>
              <w:bottom w:w="150" w:type="dxa"/>
              <w:right w:w="240" w:type="dxa"/>
            </w:tcMar>
            <w:vAlign w:val="center"/>
          </w:tcPr>
          <w:p w14:paraId="17B8166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根据供应商提出的招募渠道、及潜在资源库情况进行综合评定:</w:t>
            </w:r>
          </w:p>
          <w:p w14:paraId="2C5E04CE">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优秀(20分):渠道广泛(如社区、医学院校、患者社群)、筛选科学、流程规范，且有现成受试者资源库可供优先使用。</w:t>
            </w:r>
          </w:p>
          <w:p w14:paraId="158F880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良好(14分):有明确渠道和流程，方案可行。</w:t>
            </w:r>
          </w:p>
          <w:p w14:paraId="5EFB19DB">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一般(8分):方案简单，仅满足基本要求。</w:t>
            </w:r>
          </w:p>
          <w:p w14:paraId="641701D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较差(0分):方案不可行或未提供。</w:t>
            </w:r>
          </w:p>
        </w:tc>
        <w:tc>
          <w:tcPr>
            <w:tcW w:w="1038" w:type="dxa"/>
            <w:shd w:val="clear" w:color="auto" w:fill="FFFFFF"/>
            <w:tcMar>
              <w:top w:w="150" w:type="dxa"/>
              <w:left w:w="240" w:type="dxa"/>
              <w:bottom w:w="150" w:type="dxa"/>
              <w:right w:w="240" w:type="dxa"/>
            </w:tcMar>
            <w:vAlign w:val="center"/>
          </w:tcPr>
          <w:p w14:paraId="4DBE35DB">
            <w:pPr>
              <w:widowControl/>
              <w:jc w:val="left"/>
              <w:rPr>
                <w:rFonts w:ascii="仿宋" w:hAnsi="仿宋" w:eastAsia="仿宋" w:cs="Segoe UI"/>
                <w:b/>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5841501C">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1C66F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7AE7A278">
            <w:pPr>
              <w:widowControl/>
              <w:jc w:val="left"/>
              <w:rPr>
                <w:rFonts w:ascii="仿宋" w:hAnsi="仿宋" w:eastAsia="仿宋" w:cs="Segoe UI"/>
                <w:color w:val="0F1115"/>
                <w:kern w:val="0"/>
                <w:szCs w:val="21"/>
              </w:rPr>
            </w:pPr>
            <w:r>
              <w:rPr>
                <w:rFonts w:ascii="仿宋" w:hAnsi="仿宋" w:eastAsia="仿宋" w:cs="Segoe UI"/>
                <w:color w:val="0F1115"/>
                <w:kern w:val="0"/>
                <w:szCs w:val="21"/>
              </w:rPr>
              <w:t>技术部分 (</w:t>
            </w:r>
            <w:r>
              <w:rPr>
                <w:rFonts w:hint="eastAsia" w:ascii="仿宋" w:hAnsi="仿宋" w:eastAsia="仿宋" w:cs="Segoe UI"/>
                <w:b/>
                <w:color w:val="0F1115"/>
                <w:kern w:val="0"/>
                <w:szCs w:val="21"/>
              </w:rPr>
              <w:t>20</w:t>
            </w:r>
            <w:r>
              <w:rPr>
                <w:rFonts w:ascii="仿宋" w:hAnsi="仿宋" w:eastAsia="仿宋" w:cs="Segoe UI"/>
                <w:color w:val="0F1115"/>
                <w:kern w:val="0"/>
                <w:szCs w:val="21"/>
              </w:rPr>
              <w:t>分)</w:t>
            </w:r>
          </w:p>
        </w:tc>
        <w:tc>
          <w:tcPr>
            <w:tcW w:w="1412" w:type="dxa"/>
            <w:shd w:val="clear" w:color="auto" w:fill="FFFFFF"/>
            <w:tcMar>
              <w:top w:w="150" w:type="dxa"/>
              <w:left w:w="240" w:type="dxa"/>
              <w:bottom w:w="150" w:type="dxa"/>
              <w:right w:w="240" w:type="dxa"/>
            </w:tcMar>
            <w:vAlign w:val="center"/>
          </w:tcPr>
          <w:p w14:paraId="499C223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运营管理与</w:t>
            </w:r>
          </w:p>
          <w:p w14:paraId="20232EF1">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质控方案</w:t>
            </w:r>
          </w:p>
        </w:tc>
        <w:tc>
          <w:tcPr>
            <w:tcW w:w="5075" w:type="dxa"/>
            <w:shd w:val="clear" w:color="auto" w:fill="FFFFFF"/>
            <w:tcMar>
              <w:top w:w="150" w:type="dxa"/>
              <w:left w:w="240" w:type="dxa"/>
              <w:bottom w:w="150" w:type="dxa"/>
              <w:right w:w="240" w:type="dxa"/>
            </w:tcMar>
            <w:vAlign w:val="center"/>
          </w:tcPr>
          <w:p w14:paraId="232906E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根据供应商对项目的日常管理、调度机制、服务质量监控、应急预案、数据隐私保护及持续改进措施进行综合评定:</w:t>
            </w:r>
          </w:p>
          <w:p w14:paraId="2309C13A">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优秀(20分):管理机制成熟，调度灵活，应急预案完善，数据保护措施到位。</w:t>
            </w:r>
          </w:p>
          <w:p w14:paraId="1A75DC4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良好(12分):有清晰管理流程和基本质控措施。</w:t>
            </w:r>
          </w:p>
          <w:p w14:paraId="2A86D46B">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客观/主观</w:t>
            </w:r>
          </w:p>
          <w:p w14:paraId="28C4FC7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一般(5分):方案简单，缺乏细节。</w:t>
            </w:r>
          </w:p>
          <w:p w14:paraId="7B38B782">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较差(0分):方案不可</w:t>
            </w:r>
            <w:bookmarkStart w:id="2" w:name="_GoBack"/>
            <w:bookmarkEnd w:id="2"/>
            <w:r>
              <w:rPr>
                <w:rFonts w:hint="eastAsia" w:ascii="仿宋" w:hAnsi="仿宋" w:eastAsia="仿宋" w:cs="Segoe UI"/>
                <w:color w:val="0F1115"/>
                <w:kern w:val="0"/>
                <w:szCs w:val="21"/>
              </w:rPr>
              <w:t>行或未提供。</w:t>
            </w:r>
          </w:p>
        </w:tc>
        <w:tc>
          <w:tcPr>
            <w:tcW w:w="1038" w:type="dxa"/>
            <w:shd w:val="clear" w:color="auto" w:fill="FFFFFF"/>
            <w:tcMar>
              <w:top w:w="150" w:type="dxa"/>
              <w:left w:w="240" w:type="dxa"/>
              <w:bottom w:w="150" w:type="dxa"/>
              <w:right w:w="240" w:type="dxa"/>
            </w:tcMar>
            <w:vAlign w:val="center"/>
          </w:tcPr>
          <w:p w14:paraId="19FD0C05">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4DB1AC6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客观/主观</w:t>
            </w:r>
          </w:p>
        </w:tc>
      </w:tr>
      <w:tr w14:paraId="4CE9F0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038D8612">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场地部分</w:t>
            </w:r>
          </w:p>
          <w:p w14:paraId="66407BC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(20分)</w:t>
            </w:r>
          </w:p>
        </w:tc>
        <w:tc>
          <w:tcPr>
            <w:tcW w:w="1412" w:type="dxa"/>
            <w:shd w:val="clear" w:color="auto" w:fill="FFFFFF"/>
            <w:tcMar>
              <w:top w:w="150" w:type="dxa"/>
              <w:left w:w="240" w:type="dxa"/>
              <w:bottom w:w="150" w:type="dxa"/>
              <w:right w:w="240" w:type="dxa"/>
            </w:tcMar>
            <w:vAlign w:val="center"/>
          </w:tcPr>
          <w:p w14:paraId="052037EB">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场地设施及全国执行能</w:t>
            </w:r>
          </w:p>
          <w:p w14:paraId="105977CB">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力</w:t>
            </w:r>
          </w:p>
        </w:tc>
        <w:tc>
          <w:tcPr>
            <w:tcW w:w="5075" w:type="dxa"/>
            <w:shd w:val="clear" w:color="auto" w:fill="FFFFFF"/>
            <w:tcMar>
              <w:top w:w="150" w:type="dxa"/>
              <w:left w:w="240" w:type="dxa"/>
              <w:bottom w:w="150" w:type="dxa"/>
              <w:right w:w="240" w:type="dxa"/>
            </w:tcMar>
            <w:vAlign w:val="center"/>
          </w:tcPr>
          <w:p w14:paraId="4205CF85">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根据供应商是否具备独立、专业、符合人体临床测试要求的场地进行综合评定:</w:t>
            </w:r>
          </w:p>
          <w:p w14:paraId="2E83DD5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优秀(20分):拥有专业测试场地，布局合理，配备符合测试环境、监控系统等，能满足多场景测试需求。</w:t>
            </w:r>
          </w:p>
          <w:p w14:paraId="5F6183C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良好(12分):有固定场地，基本满足测试需求。</w:t>
            </w:r>
          </w:p>
          <w:p w14:paraId="65AFF68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客观</w:t>
            </w:r>
          </w:p>
          <w:p w14:paraId="6AF1C019">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一般(5分):场地条件有限，仅能开展基础测试。</w:t>
            </w:r>
          </w:p>
          <w:p w14:paraId="60BC4E2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较差(0分):无自有场地或未提供相关证明。</w:t>
            </w:r>
          </w:p>
        </w:tc>
        <w:tc>
          <w:tcPr>
            <w:tcW w:w="1038" w:type="dxa"/>
            <w:shd w:val="clear" w:color="auto" w:fill="FFFFFF"/>
            <w:tcMar>
              <w:top w:w="150" w:type="dxa"/>
              <w:left w:w="240" w:type="dxa"/>
              <w:bottom w:w="150" w:type="dxa"/>
              <w:right w:w="240" w:type="dxa"/>
            </w:tcMar>
            <w:vAlign w:val="center"/>
          </w:tcPr>
          <w:p w14:paraId="0D17BC8C">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446C5C48">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0F67D2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774A1A41">
            <w:pPr>
              <w:widowControl/>
              <w:jc w:val="left"/>
              <w:rPr>
                <w:rFonts w:ascii="仿宋" w:hAnsi="仿宋" w:eastAsia="仿宋" w:cs="Segoe UI"/>
                <w:color w:val="0F1115"/>
                <w:kern w:val="0"/>
                <w:szCs w:val="21"/>
              </w:rPr>
            </w:pPr>
            <w:r>
              <w:rPr>
                <w:rFonts w:ascii="仿宋" w:hAnsi="仿宋" w:eastAsia="仿宋" w:cs="Segoe UI"/>
                <w:color w:val="0F1115"/>
                <w:kern w:val="0"/>
                <w:szCs w:val="21"/>
              </w:rPr>
              <w:t>总评分</w:t>
            </w:r>
          </w:p>
        </w:tc>
        <w:tc>
          <w:tcPr>
            <w:tcW w:w="1412" w:type="dxa"/>
            <w:shd w:val="clear" w:color="auto" w:fill="FFFFFF"/>
            <w:tcMar>
              <w:top w:w="150" w:type="dxa"/>
              <w:left w:w="240" w:type="dxa"/>
              <w:bottom w:w="150" w:type="dxa"/>
              <w:right w:w="240" w:type="dxa"/>
            </w:tcMar>
            <w:vAlign w:val="center"/>
          </w:tcPr>
          <w:p w14:paraId="3AEC1AEC">
            <w:pPr>
              <w:widowControl/>
              <w:jc w:val="left"/>
              <w:rPr>
                <w:rFonts w:ascii="仿宋" w:hAnsi="仿宋" w:eastAsia="仿宋" w:cs="Segoe UI"/>
                <w:color w:val="0F1115"/>
                <w:kern w:val="0"/>
                <w:szCs w:val="21"/>
              </w:rPr>
            </w:pPr>
          </w:p>
        </w:tc>
        <w:tc>
          <w:tcPr>
            <w:tcW w:w="5075" w:type="dxa"/>
            <w:shd w:val="clear" w:color="auto" w:fill="FFFFFF"/>
            <w:tcMar>
              <w:top w:w="150" w:type="dxa"/>
              <w:left w:w="240" w:type="dxa"/>
              <w:bottom w:w="150" w:type="dxa"/>
              <w:right w:w="240" w:type="dxa"/>
            </w:tcMar>
            <w:vAlign w:val="center"/>
          </w:tcPr>
          <w:p w14:paraId="246F69C0">
            <w:pPr>
              <w:widowControl/>
              <w:jc w:val="left"/>
              <w:rPr>
                <w:rFonts w:ascii="仿宋" w:hAnsi="仿宋" w:eastAsia="仿宋" w:cs="Segoe UI"/>
                <w:color w:val="0F1115"/>
                <w:kern w:val="0"/>
                <w:szCs w:val="21"/>
              </w:rPr>
            </w:pPr>
          </w:p>
        </w:tc>
        <w:tc>
          <w:tcPr>
            <w:tcW w:w="1038" w:type="dxa"/>
            <w:shd w:val="clear" w:color="auto" w:fill="FFFFFF"/>
            <w:tcMar>
              <w:top w:w="150" w:type="dxa"/>
              <w:left w:w="240" w:type="dxa"/>
              <w:bottom w:w="150" w:type="dxa"/>
              <w:right w:w="240" w:type="dxa"/>
            </w:tcMar>
            <w:vAlign w:val="center"/>
          </w:tcPr>
          <w:p w14:paraId="7CD6C4B8">
            <w:pPr>
              <w:widowControl/>
              <w:jc w:val="left"/>
              <w:rPr>
                <w:rFonts w:ascii="仿宋" w:hAnsi="仿宋" w:eastAsia="仿宋" w:cs="Segoe UI"/>
                <w:color w:val="0F1115"/>
                <w:kern w:val="0"/>
                <w:szCs w:val="21"/>
              </w:rPr>
            </w:pPr>
            <w:r>
              <w:rPr>
                <w:rFonts w:ascii="仿宋" w:hAnsi="仿宋" w:eastAsia="仿宋" w:cs="Segoe UI"/>
                <w:color w:val="0F1115"/>
                <w:kern w:val="0"/>
                <w:szCs w:val="21"/>
              </w:rPr>
              <w:t>100分</w:t>
            </w:r>
          </w:p>
        </w:tc>
        <w:tc>
          <w:tcPr>
            <w:tcW w:w="1342" w:type="dxa"/>
            <w:shd w:val="clear" w:color="auto" w:fill="FFFFFF"/>
            <w:vAlign w:val="center"/>
          </w:tcPr>
          <w:p w14:paraId="4593D712">
            <w:pPr>
              <w:widowControl/>
              <w:jc w:val="left"/>
              <w:rPr>
                <w:rFonts w:ascii="仿宋" w:hAnsi="仿宋" w:eastAsia="仿宋" w:cs="Segoe UI"/>
                <w:color w:val="0F1115"/>
                <w:kern w:val="0"/>
                <w:szCs w:val="21"/>
              </w:rPr>
            </w:pPr>
          </w:p>
        </w:tc>
      </w:tr>
    </w:tbl>
    <w:p w14:paraId="684ACC7F">
      <w:pPr>
        <w:widowControl/>
        <w:shd w:val="clear" w:color="auto" w:fill="FFFFFF"/>
        <w:spacing w:line="520" w:lineRule="exact"/>
        <w:contextualSpacing/>
        <w:jc w:val="left"/>
        <w:rPr>
          <w:rFonts w:ascii="仿宋" w:hAnsi="仿宋" w:eastAsia="仿宋" w:cs="Segoe UI"/>
          <w:color w:val="0F1115"/>
          <w:kern w:val="0"/>
          <w:szCs w:val="21"/>
        </w:rPr>
      </w:pPr>
    </w:p>
    <w:p w14:paraId="6EE6CCEE">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p>
    <w:p w14:paraId="1619891D">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我们确认，已根据比选文件规定的评审标准和程序，对所有通过资格性及符合性审查的参选文件进行了独立、公正的评审，并依据上表评分标准得出各项得分及总评分。</w:t>
      </w:r>
    </w:p>
    <w:p w14:paraId="36336ABA">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 xml:space="preserve">评审员（签字）：__________ __________ __________ </w:t>
      </w:r>
    </w:p>
    <w:p w14:paraId="23D2AFA0">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日 期：__________年______月______日</w:t>
      </w:r>
    </w:p>
    <w:p w14:paraId="2CF0C2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01B3"/>
    <w:multiLevelType w:val="singleLevel"/>
    <w:tmpl w:val="896A01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C5755"/>
    <w:rsid w:val="45CC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2026-03-17T06:30:00Z</dcterms:created>
  <dc:creator>Lyn</dc:creator>
  <cp:lastModifiedBy>Lyn</cp:lastModifiedBy>
  <dcterms:modified xsi:type="dcterms:W3CDTF">2026-03-17T06:31:31Z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60C8C554DEE847249E15605D9D5226F0_11</vt:lpwstr>
  </property>
  <property fmtid="{D5CDD505-2E9C-101B-9397-08002B2CF9AE}" pid="4" name="KSOTemplateDocerSaveRecord">
    <vt:lpwstr>eyJoZGlkIjoiMzI1NTc2YjM3YjBhNGRlYTk3YmY1YzQ4ZGRhMmI5ZWUiLCJ1c2VySWQiOiI0MzA1OTk4ODEifQ==</vt:lpwstr>
  </property>
</Properties>
</file>