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5B2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40403B3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hint="eastAsia" w:ascii="仿宋" w:hAnsi="仿宋" w:eastAsia="仿宋" w:cs="Segoe UI"/>
          <w:bCs/>
          <w:color w:val="0F1115"/>
          <w:sz w:val="24"/>
          <w:shd w:val="clear" w:color="auto" w:fill="FFFFFF"/>
        </w:rPr>
        <w:t>口腔专业模拟病人招募与志愿服务项目</w:t>
      </w:r>
      <w:r>
        <w:rPr>
          <w:rFonts w:ascii="仿宋" w:hAnsi="仿宋" w:eastAsia="仿宋" w:cs="Segoe UI"/>
          <w:color w:val="0F1115"/>
          <w:kern w:val="0"/>
          <w:sz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10F3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7C9204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A6992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29B5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EF2B0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944D7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1D33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9C414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A145D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E45AC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该总价是否未超过人民币45,000元的最高限价。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F5E60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D6DEB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0B2C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B85EE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77CEE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D0145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611C3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B65FF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28D9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7527B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71465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B5EB9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4740B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EA4FA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71E9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7B871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2A898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D2A54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服务方案是否实质性响应项目需求，无重大负偏离。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审查要点（结合“五、服务内容及要求概要”综合判断）：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是否承诺按照项目要求，完成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每次</w:t>
            </w:r>
            <w:r>
              <w:rPr>
                <w:rFonts w:ascii="仿宋" w:hAnsi="仿宋" w:eastAsia="仿宋" w:cs="宋体"/>
                <w:kern w:val="0"/>
                <w:szCs w:val="21"/>
              </w:rPr>
              <w:t>至少15名模拟病人（SP）的招募、筛选与培训。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培训内容是否涵盖口腔疾病模拟、操作配合、反馈技巧及消毒规范等核心模块。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是否承诺遵守项目要求的SP招募条件与管理规范。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是否承诺严格遵守消毒隔离规范及隐私保护要求。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5A0B0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AFD13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对核心需求存在删减、否定或无法满足的响应，可判定为不符合。</w:t>
            </w:r>
          </w:p>
        </w:tc>
      </w:tr>
      <w:tr w14:paraId="2C7E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C167A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0C4C7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A045C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25686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EC626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065784D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1E8AE64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56490CF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3D63DA1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0131BA64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2560"/>
        <w:gridCol w:w="1404"/>
        <w:gridCol w:w="3349"/>
      </w:tblGrid>
      <w:tr w14:paraId="559A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47DE0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2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56B10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E7993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E180E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3880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7918F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883A6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DC3A1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</w:t>
            </w:r>
            <w:bookmarkStart w:id="0" w:name="_GoBack"/>
            <w:bookmarkEnd w:id="0"/>
            <w:r>
              <w:rPr>
                <w:rFonts w:ascii="仿宋" w:hAnsi="仿宋" w:eastAsia="仿宋" w:cs="宋体"/>
                <w:kern w:val="0"/>
                <w:szCs w:val="21"/>
              </w:rPr>
              <w:t xml:space="preserve">合 </w:t>
            </w:r>
          </w:p>
          <w:p w14:paraId="3BEF1CF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56F53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65C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82BA7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2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D55B4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53DE0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9FD186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123D2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11A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F3889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2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0F3F1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59893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194022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BBD79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4BB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5EB47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2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CCFAE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B0EB2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6D758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62D7713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4D83223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1254C98B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E12B8"/>
    <w:rsid w:val="5C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2026-03-17T06:30:00Z</dcterms:created>
  <dc:creator>Lyn</dc:creator>
  <cp:lastModifiedBy>Lyn</cp:lastModifiedBy>
  <dcterms:modified xsi:type="dcterms:W3CDTF">2026-03-17T06:31:23Z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B427E98AE6EC458288DF51198341EADC_11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