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EE8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780ED38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32"/>
          <w:szCs w:val="32"/>
          <w:u w:val="single"/>
        </w:rPr>
      </w:pPr>
      <w:r>
        <w:rPr>
          <w:rFonts w:ascii="仿宋" w:hAnsi="仿宋" w:eastAsia="仿宋" w:cs="Segoe UI"/>
          <w:bCs/>
          <w:sz w:val="32"/>
          <w:szCs w:val="32"/>
        </w:rPr>
        <w:t>项目名称：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排污许可证证后管理及检测服务项目</w:t>
      </w:r>
    </w:p>
    <w:tbl>
      <w:tblPr>
        <w:tblStyle w:val="3"/>
        <w:tblW w:w="9781" w:type="dxa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379"/>
        <w:gridCol w:w="3016"/>
        <w:gridCol w:w="1417"/>
        <w:gridCol w:w="3260"/>
      </w:tblGrid>
      <w:tr w14:paraId="7EC8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F0C2B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序号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B49A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5CE6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审查标准与依据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C48D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审查结论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(符合/不符合)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83510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关键审查要点</w:t>
            </w:r>
          </w:p>
        </w:tc>
      </w:tr>
      <w:tr w14:paraId="3A12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EA1C34">
            <w:pPr>
              <w:widowControl/>
              <w:ind w:firstLine="210" w:firstLineChars="100"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8EBD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报价符合性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8CF8CA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最终总报价≤人民币150,000元（含税总价包干）。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报价为固定唯一总价，无选择性报价。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313B1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不符合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5D0A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依据《应答一览表》或《分项报价表》中的总价审查。</w:t>
            </w:r>
          </w:p>
        </w:tc>
      </w:tr>
      <w:tr w14:paraId="6C92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C32241">
            <w:pPr>
              <w:widowControl/>
              <w:ind w:firstLine="210" w:firstLineChars="100"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6126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服务期限承诺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FD87F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响应文件明确承诺服务期限为“自合同签订之日起一年”。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56A4B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不符合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9D5F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审查服务方案或承诺函中的表述。</w:t>
            </w:r>
          </w:p>
        </w:tc>
      </w:tr>
      <w:tr w14:paraId="51E4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698399">
            <w:pPr>
              <w:widowControl/>
              <w:ind w:firstLine="210" w:firstLineChars="100"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A638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关键服务条款响应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89E1C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响应文件对以下公告核心要求作出明确、无保留的承诺：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配备符合公告资质要求的项目负责人及团队。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. 承诺在现场采样完成后8个工作日内提交正式检测报告。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68C3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不符合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EC19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审查响应文件中的服务方案或专项承诺章节。对上述任何一条有保留、有条件或未响应，即为不符合。</w:t>
            </w:r>
          </w:p>
        </w:tc>
      </w:tr>
      <w:tr w14:paraId="6D37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84DE84">
            <w:pPr>
              <w:widowControl/>
              <w:ind w:firstLine="210" w:firstLineChars="100"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4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95B8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服务方案全面性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8066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提供了针对本项目的具体服务方案，内容至少涵盖：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- 各检测项目的实施计划。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- 质量保证与控制（QA/QC）措施。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- 数据填报及执行报告编制流程。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- 与院方的沟通协调机制。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BA938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不符合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B99FE4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方案内容空泛、严重缺项或明显套用模板，视为不符合。</w:t>
            </w:r>
          </w:p>
        </w:tc>
      </w:tr>
      <w:tr w14:paraId="6D1D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C53C7C">
            <w:pPr>
              <w:widowControl/>
              <w:ind w:firstLine="210" w:firstLineChars="100"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5</w:t>
            </w:r>
          </w:p>
        </w:tc>
        <w:tc>
          <w:tcPr>
            <w:tcW w:w="13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E2382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文件签署与有效性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5107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1. 响应文件按要求装订、签章（含骑缝章）。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2. 《应答一览表》、《比选前承诺书》、《授权委托书》等关键文件签字盖章齐全。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3. 所有证明文件清晰、有效。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6523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color w:val="0F1115"/>
                <w:kern w:val="0"/>
                <w:szCs w:val="21"/>
              </w:rPr>
              <w:t>☐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 xml:space="preserve"> 不符合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CFAC6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形式审查。签字盖章不全、文件混乱无法阅读，视为不符合。</w:t>
            </w:r>
          </w:p>
        </w:tc>
      </w:tr>
    </w:tbl>
    <w:p w14:paraId="7E196E6B">
      <w:pPr>
        <w:widowControl/>
        <w:spacing w:before="240" w:after="240"/>
        <w:jc w:val="left"/>
        <w:rPr>
          <w:rFonts w:ascii="Segoe UI" w:hAnsi="Segoe UI" w:cs="Segoe UI"/>
          <w:color w:val="0F1115"/>
        </w:rPr>
      </w:pPr>
    </w:p>
    <w:p w14:paraId="746BC7D2">
      <w:pPr>
        <w:widowControl/>
        <w:spacing w:before="240" w:after="2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bCs/>
          <w:kern w:val="0"/>
          <w:szCs w:val="21"/>
        </w:rPr>
        <w:t>符合性审查总体结论：</w:t>
      </w:r>
      <w:bookmarkStart w:id="0" w:name="_GoBack"/>
      <w:bookmarkEnd w:id="0"/>
    </w:p>
    <w:p w14:paraId="65DDB1F5">
      <w:pPr>
        <w:widowControl/>
        <w:spacing w:before="240" w:after="240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宋体"/>
          <w:kern w:val="0"/>
          <w:szCs w:val="21"/>
        </w:rPr>
        <w:t>（</w:t>
      </w:r>
      <w:r>
        <w:rPr>
          <w:rFonts w:ascii="仿宋" w:hAnsi="仿宋" w:eastAsia="仿宋" w:cs="宋体"/>
          <w:bCs/>
          <w:kern w:val="0"/>
          <w:szCs w:val="21"/>
        </w:rPr>
        <w:t>评审原则：</w:t>
      </w:r>
      <w:r>
        <w:rPr>
          <w:rFonts w:ascii="Calibri" w:hAnsi="Calibri" w:eastAsia="仿宋" w:cs="Calibri"/>
          <w:kern w:val="0"/>
          <w:szCs w:val="21"/>
        </w:rPr>
        <w:t> </w:t>
      </w:r>
      <w:r>
        <w:rPr>
          <w:rFonts w:ascii="仿宋" w:hAnsi="仿宋" w:eastAsia="仿宋" w:cs="宋体"/>
          <w:kern w:val="0"/>
          <w:szCs w:val="21"/>
        </w:rPr>
        <w:t>任一参选人在1-5项审查中，有任一项结论为“不符合”，或其响应存在实质性负偏离，则其符合性审查总体结论为“不符合”。）</w:t>
      </w:r>
    </w:p>
    <w:tbl>
      <w:tblPr>
        <w:tblStyle w:val="3"/>
        <w:tblW w:w="85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8"/>
        <w:gridCol w:w="1465"/>
        <w:gridCol w:w="4252"/>
      </w:tblGrid>
      <w:tr w14:paraId="771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tblHeader/>
        </w:trPr>
        <w:tc>
          <w:tcPr>
            <w:tcW w:w="27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00E8C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F264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B9782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说明（如为不符合，请注明具体原因及对应序号）</w:t>
            </w:r>
          </w:p>
        </w:tc>
      </w:tr>
      <w:tr w14:paraId="48AF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</w:trPr>
        <w:tc>
          <w:tcPr>
            <w:tcW w:w="27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0627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361E6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符 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38A8C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028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278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23E80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93BC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符 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C7C04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FE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9" w:hRule="atLeast"/>
        </w:trPr>
        <w:tc>
          <w:tcPr>
            <w:tcW w:w="2788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C69BB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4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5191E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符 合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Cs w:val="21"/>
              </w:rPr>
              <w:t>☐</w:t>
            </w:r>
            <w:r>
              <w:rPr>
                <w:rFonts w:ascii="Calibri" w:hAnsi="Calibri" w:eastAsia="仿宋" w:cs="Calibri"/>
                <w:color w:val="0F1115"/>
                <w:kern w:val="0"/>
                <w:szCs w:val="21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不符合</w:t>
            </w:r>
          </w:p>
        </w:tc>
        <w:tc>
          <w:tcPr>
            <w:tcW w:w="4252" w:type="dxa"/>
            <w:vAlign w:val="center"/>
          </w:tcPr>
          <w:p w14:paraId="3F5736E4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</w:p>
        </w:tc>
      </w:tr>
    </w:tbl>
    <w:p w14:paraId="5CB1BCB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sz w:val="24"/>
        </w:rPr>
      </w:pPr>
    </w:p>
    <w:p w14:paraId="29A2547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sz w:val="24"/>
          <w:u w:val="single"/>
        </w:rPr>
      </w:pPr>
      <w:r>
        <w:rPr>
          <w:rFonts w:ascii="仿宋" w:hAnsi="仿宋" w:eastAsia="仿宋" w:cs="Segoe UI"/>
          <w:color w:val="0F1115"/>
          <w:sz w:val="24"/>
        </w:rPr>
        <w:t>评审员（签字）：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>_______</w:t>
      </w:r>
      <w:r>
        <w:rPr>
          <w:rFonts w:ascii="仿宋" w:hAnsi="仿宋" w:eastAsia="仿宋" w:cs="Segoe UI"/>
          <w:color w:val="0F1115"/>
          <w:sz w:val="24"/>
          <w:u w:val="single"/>
        </w:rPr>
        <w:t xml:space="preserve">                                                        </w:t>
      </w:r>
    </w:p>
    <w:p w14:paraId="538EF660">
      <w:pPr>
        <w:jc w:val="left"/>
        <w:rPr>
          <w:rFonts w:ascii="仿宋" w:hAnsi="仿宋" w:eastAsia="仿宋" w:cs="Segoe UI"/>
          <w:color w:val="0F1115"/>
          <w:sz w:val="24"/>
          <w:shd w:val="clear" w:color="auto" w:fill="FFFFFF"/>
        </w:rPr>
      </w:pPr>
    </w:p>
    <w:p w14:paraId="2E8EB3F7">
      <w:pPr>
        <w:jc w:val="left"/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</w:pP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日期：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日</w:t>
      </w:r>
    </w:p>
    <w:p w14:paraId="731C0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1514"/>
    <w:rsid w:val="3E5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2026-01-29T01:15:00Z</dcterms:created>
  <dc:creator>Lyn</dc:creator>
  <cp:lastModifiedBy>Lyn</cp:lastModifiedBy>
  <dcterms:modified xsi:type="dcterms:W3CDTF">2026-01-29T01:17:38Z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BC51D02B13634C78A82B2825BC9941CD_11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