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F639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六</w:t>
      </w:r>
      <w:r>
        <w:rPr>
          <w:rFonts w:ascii="仿宋" w:hAnsi="仿宋" w:eastAsia="仿宋" w:cs="Segoe UI"/>
          <w:b/>
          <w:bCs/>
          <w:sz w:val="32"/>
          <w:szCs w:val="32"/>
        </w:rPr>
        <w:t>：综合评审表（评分表）</w:t>
      </w:r>
      <w:bookmarkStart w:id="1" w:name="_GoBack"/>
      <w:bookmarkEnd w:id="1"/>
    </w:p>
    <w:p w14:paraId="3BDF7BAD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Segoe UI"/>
          <w:bCs/>
          <w:sz w:val="28"/>
          <w:szCs w:val="28"/>
        </w:rPr>
        <w:t>项目名称：智慧财经</w:t>
      </w:r>
      <w:r>
        <w:rPr>
          <w:rFonts w:hint="eastAsia" w:ascii="仿宋" w:hAnsi="仿宋" w:eastAsia="仿宋" w:cs="Segoe UI"/>
          <w:bCs/>
          <w:color w:val="0F1115"/>
          <w:sz w:val="28"/>
          <w:szCs w:val="28"/>
          <w:shd w:val="clear" w:color="auto" w:fill="FFFFFF"/>
        </w:rPr>
        <w:t>系统2026年运维服务项目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2370"/>
        <w:gridCol w:w="5307"/>
        <w:gridCol w:w="817"/>
        <w:gridCol w:w="851"/>
      </w:tblGrid>
      <w:tr w14:paraId="499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21CD2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bookmarkStart w:id="0" w:name="OLE_LINK3"/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评分部分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83A3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评审因素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F8754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评分标准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8E78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18717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属性</w:t>
            </w:r>
          </w:p>
        </w:tc>
      </w:tr>
      <w:tr w14:paraId="514B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9080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价格部分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</w:rPr>
              <w:t>(10分)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E0EE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最终报价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B0DF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1. 满足比选要求且最终报价最低的为评标基准价，其价格得分为满分 10分；</w:t>
            </w:r>
          </w:p>
          <w:p w14:paraId="0910FD6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2. 其他供应商的价格得分 =（评标基准价／该供应商的最终报价）× 10；</w:t>
            </w:r>
            <w:r>
              <w:rPr>
                <w:rFonts w:hint="eastAsia" w:ascii="仿宋" w:hAnsi="仿宋" w:eastAsia="仿宋" w:cs="Segoe UI"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注：报价超过最高限价（60,000元）的为无效报价。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2FE564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062D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客观</w:t>
            </w:r>
          </w:p>
        </w:tc>
      </w:tr>
      <w:tr w14:paraId="5E87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7CB1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商务部分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</w:rPr>
              <w:t>(35分)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FFFD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同类项目业绩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7E42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2023年1月1日以来，每提供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一个财务或智慧医院</w:t>
            </w: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医院相关系统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运维服务</w:t>
            </w: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合同得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分，本项最高15分。（须提供合同关键页）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F53C75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9D578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客观</w:t>
            </w:r>
          </w:p>
        </w:tc>
      </w:tr>
      <w:tr w14:paraId="4A7B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57FF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A4AA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企业综合能力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80849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1.具有良好的商业信誉和健全的财务会计制度，提供2024年财务审计报告。得4分</w:t>
            </w:r>
          </w:p>
          <w:p w14:paraId="2838D78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2.具有履行合同所必需的设备和专业技术能力，提供书面说明。得4分</w:t>
            </w:r>
          </w:p>
          <w:p w14:paraId="0114E7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3.有依法缴纳税收和社会保障资金的良好记录，提供近半年内任意一月的税收和社保缴纳证明。得6分</w:t>
            </w:r>
          </w:p>
          <w:p w14:paraId="135F96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  <w:p w14:paraId="533F886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4C14D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14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CA395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客观</w:t>
            </w:r>
          </w:p>
        </w:tc>
      </w:tr>
      <w:tr w14:paraId="1984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9416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4DE5E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本地化服务能力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E8AF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承诺的现场响应时间及保障方案：</w:t>
            </w:r>
          </w:p>
          <w:p w14:paraId="1DB7F6D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1. 承诺 2 小时内到达现场，且提供具体人员配置（含姓名、联系方式、驻场地点）及交通保障方案（如专属车辆、应急交通预案）的，得6分；</w:t>
            </w:r>
          </w:p>
          <w:p w14:paraId="194BF54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2. 承诺 3 小时内到达现场，提供基础人员及交通安排说明的，得 4分；</w:t>
            </w:r>
          </w:p>
          <w:p w14:paraId="057B909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3. 仅承诺满足公告 4 小时要求，无额外保障措施的，得 2 分。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06064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</w:rPr>
              <w:t>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6E8E3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主客观结合</w:t>
            </w:r>
          </w:p>
        </w:tc>
      </w:tr>
      <w:tr w14:paraId="414B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BE8FD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技术部分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</w:rPr>
              <w:t>(55分)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C1C8A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运维服务方案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4FE48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针对表1、表2的运维范围与内容，提供详细、可行的年度运维服务方案。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优（18 分）：方案完全覆盖所有运维模块及服务内容；明确 SLA 指标（如故障解决时限、巡检频率、数据备份周期）；建立完善的监控报告机制（日 / 周 / 月报表内容清晰）；流程规范，团队分工明确；</w:t>
            </w:r>
          </w:p>
          <w:p w14:paraId="7B7D01B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良（14 分）：方案覆盖主要运维内容；有基本的服务计划和人员分工；</w:t>
            </w:r>
          </w:p>
          <w:p w14:paraId="7B75EB9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差（5 分）：方案笼统，缺乏具体实施内容和时间计划。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058C0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18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3860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主客观结合</w:t>
            </w:r>
          </w:p>
        </w:tc>
      </w:tr>
      <w:tr w14:paraId="3AE1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ADCB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94AC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应急与安全保障方案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EC5F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提供系统故障、数据恢复、安全事件的专项应急预案。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优（15分）：预案包含明确的应急启动条件、指挥架构、详细处理流程（含数据恢复步骤、系统回退方案、财务数据保密措施）及事后复盘机制；</w:t>
            </w:r>
          </w:p>
          <w:p w14:paraId="7612D7F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良（11 分）：预案基本要素齐全，但处理流程细节不足，无明确数据保密措施；</w:t>
            </w:r>
          </w:p>
          <w:p w14:paraId="32E7074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差（4 分）：预案简单，可操作性不强，关键环节缺失。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136796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509F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主客观结合</w:t>
            </w:r>
          </w:p>
        </w:tc>
      </w:tr>
      <w:tr w14:paraId="3C2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18EE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7501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项目团队配置</w:t>
            </w: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B0A1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1.项目经理1名   （得10分）</w:t>
            </w:r>
          </w:p>
          <w:p w14:paraId="68B1539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2.运维工程师3名  （每有一名得4分，最高得12分）</w:t>
            </w:r>
          </w:p>
          <w:p w14:paraId="6216802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37B60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</w:rPr>
              <w:t>22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0079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客观</w:t>
            </w:r>
          </w:p>
        </w:tc>
      </w:tr>
      <w:tr w14:paraId="2531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5DFCC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总 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04FFB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</w:p>
        </w:tc>
        <w:tc>
          <w:tcPr>
            <w:tcW w:w="53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0AA338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0DE479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5CC7E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bookmarkEnd w:id="0"/>
    </w:tbl>
    <w:p w14:paraId="59689822"/>
    <w:p w14:paraId="44DFD1E5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32"/>
          <w:szCs w:val="32"/>
          <w:shd w:val="clear" w:color="auto" w:fill="FFFFFF"/>
        </w:rPr>
      </w:pPr>
    </w:p>
    <w:p w14:paraId="282A5CD1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评审员</w:t>
      </w:r>
      <w:r>
        <w:rPr>
          <w:rFonts w:ascii="仿宋" w:hAnsi="仿宋" w:eastAsia="仿宋" w:cs="Segoe UI"/>
          <w:color w:val="0F1115"/>
          <w:sz w:val="28"/>
          <w:szCs w:val="28"/>
        </w:rPr>
        <w:t>（签字）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</w:p>
    <w:p w14:paraId="646B0C9C"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</w:t>
      </w:r>
      <w:r>
        <w:rPr>
          <w:rFonts w:ascii="仿宋" w:hAnsi="仿宋" w:eastAsia="仿宋"/>
          <w:sz w:val="28"/>
          <w:szCs w:val="28"/>
        </w:rPr>
        <w:t>日期:</w:t>
      </w:r>
      <w:r>
        <w:rPr>
          <w:rFonts w:ascii="仿宋" w:hAnsi="仿宋" w:eastAsia="仿宋"/>
          <w:sz w:val="28"/>
          <w:szCs w:val="28"/>
          <w:u w:val="single"/>
        </w:rPr>
        <w:t>_   _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5276"/>
    <w:rsid w:val="7E0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2026-01-21T08:26:00Z</dcterms:created>
  <dc:creator>Lyn</dc:creator>
  <cp:lastModifiedBy>Lyn</cp:lastModifiedBy>
  <dcterms:modified xsi:type="dcterms:W3CDTF">2026-01-21T08:27:33Z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D3CB7092089D4F8A8743CD74D036BE4D_11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