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E557A2">
      <w:pPr>
        <w:widowControl/>
        <w:shd w:val="clear" w:color="auto" w:fill="FFFFFF"/>
        <w:spacing w:line="520" w:lineRule="exact"/>
        <w:contextualSpacing/>
        <w:rPr>
          <w:rFonts w:ascii="仿宋" w:hAnsi="仿宋" w:eastAsia="仿宋" w:cs="Segoe UI"/>
          <w:b/>
          <w:bCs/>
          <w:sz w:val="32"/>
          <w:szCs w:val="32"/>
        </w:rPr>
      </w:pPr>
      <w:bookmarkStart w:id="0" w:name="OLE_LINK17"/>
      <w:bookmarkStart w:id="1" w:name="OLE_LINK18"/>
      <w:r>
        <w:rPr>
          <w:rFonts w:ascii="仿宋" w:hAnsi="仿宋" w:eastAsia="仿宋" w:cs="Segoe UI"/>
          <w:b/>
          <w:bCs/>
          <w:sz w:val="32"/>
          <w:szCs w:val="32"/>
        </w:rPr>
        <w:t>附件五：综合评审表（评分表）</w:t>
      </w:r>
    </w:p>
    <w:p w14:paraId="6E5FE546">
      <w:pPr>
        <w:widowControl/>
        <w:shd w:val="clear" w:color="auto" w:fill="FFFFFF"/>
        <w:spacing w:line="520" w:lineRule="exact"/>
        <w:contextualSpacing/>
        <w:rPr>
          <w:rFonts w:ascii="仿宋" w:hAnsi="仿宋" w:eastAsia="仿宋" w:cs="Segoe UI"/>
          <w:bCs/>
          <w:color w:val="0F1115"/>
          <w:sz w:val="30"/>
          <w:szCs w:val="30"/>
          <w:shd w:val="clear" w:color="auto" w:fill="FFFFFF"/>
        </w:rPr>
      </w:pPr>
      <w:r>
        <w:rPr>
          <w:rFonts w:ascii="仿宋" w:hAnsi="仿宋" w:eastAsia="仿宋" w:cs="Segoe UI"/>
          <w:bCs/>
          <w:sz w:val="30"/>
          <w:szCs w:val="30"/>
        </w:rPr>
        <w:t>项目名称：</w:t>
      </w:r>
      <w:r>
        <w:rPr>
          <w:rFonts w:hint="eastAsia" w:ascii="仿宋" w:hAnsi="仿宋" w:eastAsia="仿宋"/>
          <w:sz w:val="30"/>
          <w:szCs w:val="30"/>
        </w:rPr>
        <w:t>开展202</w:t>
      </w:r>
      <w:r>
        <w:rPr>
          <w:rFonts w:ascii="仿宋" w:hAnsi="仿宋" w:eastAsia="仿宋"/>
          <w:sz w:val="30"/>
          <w:szCs w:val="30"/>
        </w:rPr>
        <w:t>5</w:t>
      </w:r>
      <w:r>
        <w:rPr>
          <w:rFonts w:hint="eastAsia" w:ascii="仿宋" w:hAnsi="仿宋" w:eastAsia="仿宋"/>
          <w:sz w:val="30"/>
          <w:szCs w:val="30"/>
        </w:rPr>
        <w:t>年内部控制风险评估和内部控制评价</w:t>
      </w:r>
      <w:r>
        <w:rPr>
          <w:rFonts w:ascii="仿宋" w:hAnsi="仿宋" w:eastAsia="仿宋"/>
          <w:color w:val="0F1115"/>
          <w:sz w:val="30"/>
          <w:szCs w:val="30"/>
          <w:shd w:val="clear" w:color="auto" w:fill="FFFFFF"/>
        </w:rPr>
        <w:t>项目</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1129"/>
        <w:gridCol w:w="956"/>
        <w:gridCol w:w="4862"/>
        <w:gridCol w:w="811"/>
        <w:gridCol w:w="788"/>
      </w:tblGrid>
      <w:tr w14:paraId="3B576F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blHeader/>
        </w:trPr>
        <w:tc>
          <w:tcPr>
            <w:tcW w:w="1129" w:type="dxa"/>
            <w:shd w:val="clear" w:color="auto" w:fill="FFFFFF"/>
            <w:tcMar>
              <w:top w:w="150" w:type="dxa"/>
              <w:left w:w="0" w:type="dxa"/>
              <w:bottom w:w="150" w:type="dxa"/>
              <w:right w:w="240" w:type="dxa"/>
            </w:tcMar>
            <w:vAlign w:val="center"/>
          </w:tcPr>
          <w:p w14:paraId="6FEB9F5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评分部分</w:t>
            </w:r>
          </w:p>
        </w:tc>
        <w:tc>
          <w:tcPr>
            <w:tcW w:w="956" w:type="dxa"/>
            <w:shd w:val="clear" w:color="auto" w:fill="FFFFFF"/>
            <w:tcMar>
              <w:top w:w="150" w:type="dxa"/>
              <w:left w:w="240" w:type="dxa"/>
              <w:bottom w:w="150" w:type="dxa"/>
              <w:right w:w="240" w:type="dxa"/>
            </w:tcMar>
            <w:vAlign w:val="center"/>
          </w:tcPr>
          <w:p w14:paraId="3D4CE8FB">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评分因素</w:t>
            </w:r>
          </w:p>
        </w:tc>
        <w:tc>
          <w:tcPr>
            <w:tcW w:w="0" w:type="auto"/>
            <w:shd w:val="clear" w:color="auto" w:fill="FFFFFF"/>
            <w:tcMar>
              <w:top w:w="150" w:type="dxa"/>
              <w:left w:w="240" w:type="dxa"/>
              <w:bottom w:w="150" w:type="dxa"/>
              <w:right w:w="240" w:type="dxa"/>
            </w:tcMar>
            <w:vAlign w:val="center"/>
          </w:tcPr>
          <w:p w14:paraId="4A92C252">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评分标准</w:t>
            </w:r>
          </w:p>
        </w:tc>
        <w:tc>
          <w:tcPr>
            <w:tcW w:w="0" w:type="auto"/>
            <w:shd w:val="clear" w:color="auto" w:fill="FFFFFF"/>
            <w:tcMar>
              <w:top w:w="150" w:type="dxa"/>
              <w:left w:w="240" w:type="dxa"/>
              <w:bottom w:w="150" w:type="dxa"/>
              <w:right w:w="240" w:type="dxa"/>
            </w:tcMar>
            <w:vAlign w:val="center"/>
          </w:tcPr>
          <w:p w14:paraId="7B359528">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分值</w:t>
            </w:r>
          </w:p>
        </w:tc>
        <w:tc>
          <w:tcPr>
            <w:tcW w:w="0" w:type="auto"/>
            <w:shd w:val="clear" w:color="auto" w:fill="FFFFFF"/>
            <w:tcMar>
              <w:top w:w="150" w:type="dxa"/>
              <w:left w:w="240" w:type="dxa"/>
              <w:bottom w:w="150" w:type="dxa"/>
              <w:right w:w="240" w:type="dxa"/>
            </w:tcMar>
            <w:vAlign w:val="center"/>
          </w:tcPr>
          <w:p w14:paraId="51A829C6">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分值属性</w:t>
            </w:r>
          </w:p>
        </w:tc>
      </w:tr>
      <w:tr w14:paraId="2DCF0F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29" w:type="dxa"/>
            <w:shd w:val="clear" w:color="auto" w:fill="FFFFFF"/>
            <w:tcMar>
              <w:top w:w="150" w:type="dxa"/>
              <w:left w:w="0" w:type="dxa"/>
              <w:bottom w:w="150" w:type="dxa"/>
              <w:right w:w="240" w:type="dxa"/>
            </w:tcMar>
            <w:vAlign w:val="center"/>
          </w:tcPr>
          <w:p w14:paraId="246590B4">
            <w:pPr>
              <w:widowControl/>
              <w:jc w:val="left"/>
              <w:rPr>
                <w:rFonts w:ascii="仿宋" w:hAnsi="仿宋" w:eastAsia="仿宋" w:cs="Segoe UI"/>
                <w:color w:val="0F1115"/>
                <w:kern w:val="0"/>
                <w:szCs w:val="21"/>
              </w:rPr>
            </w:pPr>
            <w:r>
              <w:rPr>
                <w:rFonts w:ascii="仿宋" w:hAnsi="仿宋" w:eastAsia="仿宋" w:cs="Segoe UI"/>
                <w:bCs/>
                <w:color w:val="0F1115"/>
                <w:kern w:val="0"/>
                <w:szCs w:val="21"/>
              </w:rPr>
              <w:t>价格部分(</w:t>
            </w:r>
            <w:r>
              <w:rPr>
                <w:rFonts w:ascii="仿宋" w:hAnsi="仿宋" w:eastAsia="仿宋" w:cs="Segoe UI"/>
                <w:b/>
                <w:bCs/>
                <w:color w:val="0F1115"/>
                <w:kern w:val="0"/>
                <w:szCs w:val="21"/>
              </w:rPr>
              <w:t>10</w:t>
            </w:r>
            <w:r>
              <w:rPr>
                <w:rFonts w:ascii="仿宋" w:hAnsi="仿宋" w:eastAsia="仿宋" w:cs="Segoe UI"/>
                <w:bCs/>
                <w:color w:val="0F1115"/>
                <w:kern w:val="0"/>
                <w:szCs w:val="21"/>
              </w:rPr>
              <w:t>分)</w:t>
            </w:r>
          </w:p>
        </w:tc>
        <w:tc>
          <w:tcPr>
            <w:tcW w:w="956" w:type="dxa"/>
            <w:shd w:val="clear" w:color="auto" w:fill="FFFFFF"/>
            <w:tcMar>
              <w:top w:w="150" w:type="dxa"/>
              <w:left w:w="240" w:type="dxa"/>
              <w:bottom w:w="150" w:type="dxa"/>
              <w:right w:w="240" w:type="dxa"/>
            </w:tcMar>
            <w:vAlign w:val="center"/>
          </w:tcPr>
          <w:p w14:paraId="676D1F55">
            <w:pPr>
              <w:widowControl/>
              <w:jc w:val="left"/>
              <w:rPr>
                <w:rFonts w:ascii="仿宋" w:hAnsi="仿宋" w:eastAsia="仿宋" w:cs="Segoe UI"/>
                <w:color w:val="0F1115"/>
                <w:kern w:val="0"/>
                <w:szCs w:val="21"/>
              </w:rPr>
            </w:pPr>
            <w:r>
              <w:rPr>
                <w:rFonts w:ascii="仿宋" w:hAnsi="仿宋" w:eastAsia="仿宋" w:cs="Segoe UI"/>
                <w:color w:val="0F1115"/>
                <w:kern w:val="0"/>
                <w:szCs w:val="21"/>
              </w:rPr>
              <w:t>投标报价</w:t>
            </w:r>
          </w:p>
        </w:tc>
        <w:tc>
          <w:tcPr>
            <w:tcW w:w="0" w:type="auto"/>
            <w:shd w:val="clear" w:color="auto" w:fill="FFFFFF"/>
            <w:tcMar>
              <w:top w:w="150" w:type="dxa"/>
              <w:left w:w="240" w:type="dxa"/>
              <w:bottom w:w="150" w:type="dxa"/>
              <w:right w:w="240" w:type="dxa"/>
            </w:tcMar>
            <w:vAlign w:val="center"/>
          </w:tcPr>
          <w:p w14:paraId="6057E6D4">
            <w:pPr>
              <w:widowControl/>
              <w:jc w:val="left"/>
              <w:rPr>
                <w:rFonts w:ascii="仿宋" w:hAnsi="仿宋" w:eastAsia="仿宋" w:cs="Segoe UI"/>
                <w:color w:val="0F1115"/>
                <w:kern w:val="0"/>
                <w:szCs w:val="21"/>
              </w:rPr>
            </w:pPr>
            <w:r>
              <w:rPr>
                <w:rFonts w:ascii="仿宋" w:hAnsi="仿宋" w:eastAsia="仿宋" w:cs="Segoe UI"/>
                <w:bCs/>
                <w:color w:val="0F1115"/>
                <w:kern w:val="0"/>
                <w:szCs w:val="21"/>
              </w:rPr>
              <w:t>采用“低价优先法”计算</w:t>
            </w:r>
            <w:r>
              <w:rPr>
                <w:rFonts w:hint="eastAsia" w:ascii="仿宋" w:hAnsi="仿宋" w:eastAsia="仿宋" w:cs="Segoe UI"/>
                <w:bCs/>
                <w:color w:val="0F1115"/>
                <w:kern w:val="0"/>
                <w:szCs w:val="21"/>
              </w:rPr>
              <w:t>。</w:t>
            </w:r>
            <w:r>
              <w:rPr>
                <w:rFonts w:ascii="仿宋" w:hAnsi="仿宋" w:eastAsia="仿宋" w:cs="Segoe UI"/>
                <w:bCs/>
                <w:color w:val="0F1115"/>
                <w:kern w:val="0"/>
                <w:szCs w:val="21"/>
              </w:rPr>
              <w:t>满足</w:t>
            </w:r>
            <w:r>
              <w:rPr>
                <w:rFonts w:hint="eastAsia" w:ascii="仿宋" w:hAnsi="仿宋" w:eastAsia="仿宋" w:cs="Segoe UI"/>
                <w:bCs/>
                <w:color w:val="0F1115"/>
                <w:kern w:val="0"/>
                <w:szCs w:val="21"/>
              </w:rPr>
              <w:t>比选</w:t>
            </w:r>
            <w:r>
              <w:rPr>
                <w:rFonts w:ascii="仿宋" w:hAnsi="仿宋" w:eastAsia="仿宋" w:cs="Segoe UI"/>
                <w:bCs/>
                <w:color w:val="0F1115"/>
                <w:kern w:val="0"/>
                <w:szCs w:val="21"/>
              </w:rPr>
              <w:t>文件要求且投标价格最低的报价为评标基准价，其价格得分为满分。</w:t>
            </w:r>
            <w:r>
              <w:rPr>
                <w:rFonts w:ascii="仿宋" w:hAnsi="仿宋" w:eastAsia="仿宋" w:cs="Segoe UI"/>
                <w:color w:val="0F1115"/>
                <w:kern w:val="0"/>
                <w:szCs w:val="21"/>
              </w:rPr>
              <w:br w:type="textWrapping"/>
            </w:r>
            <w:r>
              <w:rPr>
                <w:rFonts w:ascii="仿宋" w:hAnsi="仿宋" w:eastAsia="仿宋" w:cs="Segoe UI"/>
                <w:color w:val="0F1115"/>
                <w:kern w:val="0"/>
                <w:szCs w:val="21"/>
              </w:rPr>
              <w:t>价格得分 = (评标基准价 / 投标报价) ×</w:t>
            </w:r>
            <w:r>
              <w:rPr>
                <w:rFonts w:hint="eastAsia" w:ascii="仿宋" w:hAnsi="仿宋" w:eastAsia="仿宋" w:cs="Segoe UI"/>
                <w:b/>
                <w:bCs/>
                <w:color w:val="0F1115"/>
                <w:kern w:val="0"/>
                <w:szCs w:val="21"/>
              </w:rPr>
              <w:t>10</w:t>
            </w:r>
            <w:r>
              <w:rPr>
                <w:rFonts w:ascii="仿宋" w:hAnsi="仿宋" w:eastAsia="仿宋" w:cs="Segoe UI"/>
                <w:color w:val="0F1115"/>
                <w:kern w:val="0"/>
                <w:szCs w:val="21"/>
              </w:rPr>
              <w:t>。</w:t>
            </w:r>
            <w:r>
              <w:rPr>
                <w:rFonts w:hint="eastAsia" w:ascii="仿宋" w:hAnsi="仿宋" w:eastAsia="仿宋" w:cs="Segoe UI"/>
                <w:color w:val="0F1115"/>
                <w:kern w:val="0"/>
                <w:szCs w:val="21"/>
              </w:rPr>
              <w:t>（保留</w:t>
            </w:r>
            <w:r>
              <w:rPr>
                <w:rFonts w:ascii="仿宋" w:hAnsi="仿宋" w:eastAsia="仿宋" w:cs="Segoe UI"/>
                <w:color w:val="0F1115"/>
                <w:kern w:val="0"/>
                <w:szCs w:val="21"/>
              </w:rPr>
              <w:t>小数点后两位</w:t>
            </w:r>
            <w:r>
              <w:rPr>
                <w:rFonts w:hint="eastAsia" w:ascii="仿宋" w:hAnsi="仿宋" w:eastAsia="仿宋" w:cs="Segoe UI"/>
                <w:color w:val="0F1115"/>
                <w:kern w:val="0"/>
                <w:szCs w:val="21"/>
              </w:rPr>
              <w:t>）</w:t>
            </w:r>
            <w:r>
              <w:rPr>
                <w:rFonts w:ascii="仿宋" w:hAnsi="仿宋" w:eastAsia="仿宋" w:cs="Segoe UI"/>
                <w:color w:val="0F1115"/>
                <w:kern w:val="0"/>
                <w:szCs w:val="21"/>
              </w:rPr>
              <w:br w:type="textWrapping"/>
            </w:r>
            <w:r>
              <w:rPr>
                <w:rFonts w:ascii="仿宋" w:hAnsi="仿宋" w:eastAsia="仿宋" w:cs="Segoe UI"/>
                <w:bCs/>
                <w:color w:val="0F1115"/>
                <w:kern w:val="0"/>
                <w:szCs w:val="21"/>
              </w:rPr>
              <w:t>注：</w:t>
            </w:r>
            <w:r>
              <w:rPr>
                <w:rFonts w:ascii="Calibri" w:hAnsi="Calibri" w:eastAsia="仿宋" w:cs="Calibri"/>
                <w:color w:val="0F1115"/>
                <w:kern w:val="0"/>
                <w:szCs w:val="21"/>
              </w:rPr>
              <w:t> </w:t>
            </w:r>
            <w:r>
              <w:rPr>
                <w:rFonts w:ascii="仿宋" w:hAnsi="仿宋" w:eastAsia="仿宋" w:cs="Segoe UI"/>
                <w:color w:val="0F1115"/>
                <w:kern w:val="0"/>
                <w:szCs w:val="21"/>
              </w:rPr>
              <w:t>评标基准价为通过资格性及符合性审查的所有有效投标报价中的最低价。</w:t>
            </w:r>
          </w:p>
        </w:tc>
        <w:tc>
          <w:tcPr>
            <w:tcW w:w="0" w:type="auto"/>
            <w:shd w:val="clear" w:color="auto" w:fill="FFFFFF"/>
            <w:tcMar>
              <w:top w:w="150" w:type="dxa"/>
              <w:left w:w="240" w:type="dxa"/>
              <w:bottom w:w="150" w:type="dxa"/>
              <w:right w:w="240" w:type="dxa"/>
            </w:tcMar>
            <w:vAlign w:val="center"/>
          </w:tcPr>
          <w:p w14:paraId="273F42E3">
            <w:pPr>
              <w:widowControl/>
              <w:jc w:val="left"/>
              <w:rPr>
                <w:rFonts w:ascii="仿宋" w:hAnsi="仿宋" w:eastAsia="仿宋" w:cs="Segoe UI"/>
                <w:color w:val="0F1115"/>
                <w:kern w:val="0"/>
                <w:szCs w:val="21"/>
              </w:rPr>
            </w:pPr>
            <w:r>
              <w:rPr>
                <w:rFonts w:hint="eastAsia" w:ascii="仿宋" w:hAnsi="仿宋" w:eastAsia="仿宋" w:cs="Segoe UI"/>
                <w:b/>
                <w:bCs/>
                <w:color w:val="0F1115"/>
                <w:kern w:val="0"/>
                <w:szCs w:val="21"/>
              </w:rPr>
              <w:t>10</w:t>
            </w:r>
          </w:p>
        </w:tc>
        <w:tc>
          <w:tcPr>
            <w:tcW w:w="0" w:type="auto"/>
            <w:shd w:val="clear" w:color="auto" w:fill="FFFFFF"/>
            <w:tcMar>
              <w:top w:w="150" w:type="dxa"/>
              <w:left w:w="240" w:type="dxa"/>
              <w:bottom w:w="150" w:type="dxa"/>
              <w:right w:w="0" w:type="dxa"/>
            </w:tcMar>
            <w:vAlign w:val="center"/>
          </w:tcPr>
          <w:p w14:paraId="40F5B935">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05BDFA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29" w:type="dxa"/>
            <w:vMerge w:val="restart"/>
            <w:shd w:val="clear" w:color="auto" w:fill="FFFFFF"/>
            <w:tcMar>
              <w:top w:w="150" w:type="dxa"/>
              <w:left w:w="0" w:type="dxa"/>
              <w:bottom w:w="150" w:type="dxa"/>
              <w:right w:w="240" w:type="dxa"/>
            </w:tcMar>
            <w:vAlign w:val="center"/>
          </w:tcPr>
          <w:p w14:paraId="7B994F7D">
            <w:pPr>
              <w:widowControl/>
              <w:jc w:val="left"/>
              <w:rPr>
                <w:rFonts w:ascii="仿宋" w:hAnsi="仿宋" w:eastAsia="仿宋" w:cs="Segoe UI"/>
                <w:color w:val="0F1115"/>
                <w:kern w:val="0"/>
                <w:szCs w:val="21"/>
              </w:rPr>
            </w:pPr>
            <w:r>
              <w:rPr>
                <w:rFonts w:ascii="仿宋" w:hAnsi="仿宋" w:eastAsia="仿宋" w:cs="Segoe UI"/>
                <w:bCs/>
                <w:color w:val="0F1115"/>
                <w:kern w:val="0"/>
                <w:szCs w:val="21"/>
              </w:rPr>
              <w:t>商务部分(</w:t>
            </w:r>
            <w:r>
              <w:rPr>
                <w:rFonts w:ascii="仿宋" w:hAnsi="仿宋" w:eastAsia="仿宋" w:cs="Segoe UI"/>
                <w:b/>
                <w:bCs/>
                <w:color w:val="0F1115"/>
                <w:kern w:val="0"/>
                <w:szCs w:val="21"/>
              </w:rPr>
              <w:t>40</w:t>
            </w:r>
            <w:r>
              <w:rPr>
                <w:rFonts w:ascii="仿宋" w:hAnsi="仿宋" w:eastAsia="仿宋" w:cs="Segoe UI"/>
                <w:bCs/>
                <w:color w:val="0F1115"/>
                <w:kern w:val="0"/>
                <w:szCs w:val="21"/>
              </w:rPr>
              <w:t>分)</w:t>
            </w:r>
          </w:p>
        </w:tc>
        <w:tc>
          <w:tcPr>
            <w:tcW w:w="956" w:type="dxa"/>
            <w:shd w:val="clear" w:color="auto" w:fill="FFFFFF"/>
            <w:tcMar>
              <w:top w:w="150" w:type="dxa"/>
              <w:left w:w="240" w:type="dxa"/>
              <w:bottom w:w="150" w:type="dxa"/>
              <w:right w:w="240" w:type="dxa"/>
            </w:tcMar>
            <w:vAlign w:val="center"/>
          </w:tcPr>
          <w:p w14:paraId="438B60FA">
            <w:pPr>
              <w:widowControl/>
              <w:jc w:val="left"/>
              <w:rPr>
                <w:rFonts w:ascii="仿宋" w:hAnsi="仿宋" w:eastAsia="仿宋" w:cs="Segoe UI"/>
                <w:color w:val="0F1115"/>
                <w:kern w:val="0"/>
                <w:szCs w:val="21"/>
              </w:rPr>
            </w:pPr>
            <w:r>
              <w:rPr>
                <w:rFonts w:ascii="仿宋" w:hAnsi="仿宋" w:eastAsia="仿宋" w:cs="Segoe UI"/>
                <w:color w:val="0F1115"/>
                <w:kern w:val="0"/>
                <w:szCs w:val="21"/>
              </w:rPr>
              <w:t>类似项目业绩</w:t>
            </w:r>
          </w:p>
        </w:tc>
        <w:tc>
          <w:tcPr>
            <w:tcW w:w="0" w:type="auto"/>
            <w:shd w:val="clear" w:color="auto" w:fill="FFFFFF"/>
            <w:tcMar>
              <w:top w:w="150" w:type="dxa"/>
              <w:left w:w="240" w:type="dxa"/>
              <w:bottom w:w="150" w:type="dxa"/>
              <w:right w:w="240" w:type="dxa"/>
            </w:tcMar>
            <w:vAlign w:val="center"/>
          </w:tcPr>
          <w:p w14:paraId="55142651">
            <w:pPr>
              <w:widowControl/>
              <w:jc w:val="left"/>
              <w:rPr>
                <w:rFonts w:ascii="仿宋" w:hAnsi="仿宋" w:eastAsia="仿宋" w:cs="Segoe UI"/>
                <w:color w:val="0F1115"/>
                <w:kern w:val="0"/>
                <w:szCs w:val="21"/>
              </w:rPr>
            </w:pPr>
            <w:r>
              <w:rPr>
                <w:rFonts w:ascii="仿宋" w:hAnsi="仿宋" w:eastAsia="仿宋" w:cs="Segoe UI"/>
                <w:color w:val="0F1115"/>
                <w:kern w:val="0"/>
                <w:szCs w:val="21"/>
              </w:rPr>
              <w:t>1.</w:t>
            </w:r>
            <w:r>
              <w:rPr>
                <w:rFonts w:ascii="Calibri" w:hAnsi="Calibri" w:eastAsia="仿宋" w:cs="Calibri"/>
                <w:color w:val="0F1115"/>
                <w:kern w:val="0"/>
                <w:szCs w:val="21"/>
              </w:rPr>
              <w:t> </w:t>
            </w:r>
            <w:r>
              <w:rPr>
                <w:rFonts w:ascii="仿宋" w:hAnsi="仿宋" w:eastAsia="仿宋" w:cs="Segoe UI"/>
                <w:bCs/>
                <w:color w:val="0F1115"/>
                <w:kern w:val="0"/>
                <w:szCs w:val="21"/>
              </w:rPr>
              <w:t>基础分（</w:t>
            </w:r>
            <w:r>
              <w:rPr>
                <w:rFonts w:hint="eastAsia" w:ascii="仿宋" w:hAnsi="仿宋" w:eastAsia="仿宋" w:cs="Segoe UI"/>
                <w:b/>
                <w:bCs/>
                <w:color w:val="0F1115"/>
                <w:kern w:val="0"/>
                <w:szCs w:val="21"/>
              </w:rPr>
              <w:t>9</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提供近3年（2023年1月1日至今）</w:t>
            </w:r>
            <w:r>
              <w:rPr>
                <w:rFonts w:hint="eastAsia" w:ascii="仿宋" w:hAnsi="仿宋" w:eastAsia="仿宋" w:cs="Segoe UI"/>
                <w:color w:val="0F1115"/>
                <w:kern w:val="0"/>
                <w:szCs w:val="21"/>
              </w:rPr>
              <w:t>完成</w:t>
            </w:r>
            <w:r>
              <w:rPr>
                <w:rFonts w:ascii="仿宋" w:hAnsi="仿宋" w:eastAsia="仿宋" w:cs="Segoe UI"/>
                <w:color w:val="0F1115"/>
                <w:kern w:val="0"/>
                <w:szCs w:val="21"/>
              </w:rPr>
              <w:t>的行政事业单位或公立医院内部控制、风险</w:t>
            </w:r>
            <w:r>
              <w:rPr>
                <w:rFonts w:hint="eastAsia" w:ascii="仿宋" w:hAnsi="仿宋" w:eastAsia="仿宋" w:cs="Segoe UI"/>
                <w:color w:val="0F1115"/>
                <w:kern w:val="0"/>
                <w:szCs w:val="21"/>
              </w:rPr>
              <w:t>管理</w:t>
            </w:r>
            <w:r>
              <w:rPr>
                <w:rFonts w:ascii="仿宋" w:hAnsi="仿宋" w:eastAsia="仿宋" w:cs="Segoe UI"/>
                <w:color w:val="0F1115"/>
                <w:kern w:val="0"/>
                <w:szCs w:val="21"/>
              </w:rPr>
              <w:t>或财务审计类服务合同。没提供</w:t>
            </w:r>
            <w:r>
              <w:rPr>
                <w:rFonts w:hint="eastAsia" w:ascii="仿宋" w:hAnsi="仿宋" w:eastAsia="仿宋" w:cs="Segoe UI"/>
                <w:color w:val="0F1115"/>
                <w:kern w:val="0"/>
                <w:szCs w:val="21"/>
              </w:rPr>
              <w:t>1个</w:t>
            </w:r>
            <w:r>
              <w:rPr>
                <w:rFonts w:ascii="仿宋" w:hAnsi="仿宋" w:eastAsia="仿宋" w:cs="Segoe UI"/>
                <w:color w:val="0F1115"/>
                <w:kern w:val="0"/>
                <w:szCs w:val="21"/>
              </w:rPr>
              <w:t>有效业绩得</w:t>
            </w:r>
            <w:r>
              <w:rPr>
                <w:rFonts w:hint="eastAsia" w:ascii="仿宋" w:hAnsi="仿宋" w:eastAsia="仿宋" w:cs="Segoe UI"/>
                <w:color w:val="0F1115"/>
                <w:kern w:val="0"/>
                <w:szCs w:val="21"/>
              </w:rPr>
              <w:t>3分</w:t>
            </w:r>
            <w:r>
              <w:rPr>
                <w:rFonts w:ascii="仿宋" w:hAnsi="仿宋" w:eastAsia="仿宋" w:cs="Segoe UI"/>
                <w:color w:val="0F1115"/>
                <w:kern w:val="0"/>
                <w:szCs w:val="21"/>
              </w:rPr>
              <w:t>，</w:t>
            </w:r>
            <w:r>
              <w:rPr>
                <w:rFonts w:hint="eastAsia" w:ascii="仿宋" w:hAnsi="仿宋" w:eastAsia="仿宋" w:cs="Segoe UI"/>
                <w:color w:val="0F1115"/>
                <w:kern w:val="0"/>
                <w:szCs w:val="21"/>
              </w:rPr>
              <w:t>本项</w:t>
            </w:r>
            <w:r>
              <w:rPr>
                <w:rFonts w:ascii="仿宋" w:hAnsi="仿宋" w:eastAsia="仿宋" w:cs="Segoe UI"/>
                <w:color w:val="0F1115"/>
                <w:kern w:val="0"/>
                <w:szCs w:val="21"/>
              </w:rPr>
              <w:t>最高</w:t>
            </w:r>
            <w:r>
              <w:rPr>
                <w:rFonts w:hint="eastAsia" w:ascii="仿宋" w:hAnsi="仿宋" w:eastAsia="仿宋" w:cs="Segoe UI"/>
                <w:color w:val="0F1115"/>
                <w:kern w:val="0"/>
                <w:szCs w:val="21"/>
              </w:rPr>
              <w:t>9分</w:t>
            </w:r>
            <w:r>
              <w:rPr>
                <w:rFonts w:ascii="仿宋" w:hAnsi="仿宋" w:eastAsia="仿宋" w:cs="Segoe UI"/>
                <w:color w:val="0F1115"/>
                <w:kern w:val="0"/>
                <w:szCs w:val="21"/>
              </w:rPr>
              <w:t>。</w:t>
            </w:r>
            <w:r>
              <w:rPr>
                <w:rFonts w:ascii="仿宋" w:hAnsi="仿宋" w:eastAsia="仿宋" w:cs="Segoe UI"/>
                <w:color w:val="0F1115"/>
                <w:kern w:val="0"/>
                <w:szCs w:val="21"/>
              </w:rPr>
              <w:br w:type="textWrapping"/>
            </w:r>
            <w:r>
              <w:rPr>
                <w:rFonts w:ascii="仿宋" w:hAnsi="仿宋" w:eastAsia="仿宋" w:cs="Segoe UI"/>
                <w:color w:val="0F1115"/>
                <w:kern w:val="0"/>
                <w:szCs w:val="21"/>
              </w:rPr>
              <w:t>2.</w:t>
            </w:r>
            <w:r>
              <w:rPr>
                <w:rFonts w:ascii="Calibri" w:hAnsi="Calibri" w:eastAsia="仿宋" w:cs="Calibri"/>
                <w:color w:val="0F1115"/>
                <w:kern w:val="0"/>
                <w:szCs w:val="21"/>
              </w:rPr>
              <w:t> </w:t>
            </w:r>
            <w:r>
              <w:rPr>
                <w:rFonts w:ascii="仿宋" w:hAnsi="仿宋" w:eastAsia="仿宋" w:cs="Segoe UI"/>
                <w:bCs/>
                <w:color w:val="0F1115"/>
                <w:kern w:val="0"/>
                <w:szCs w:val="21"/>
              </w:rPr>
              <w:t>加分项（</w:t>
            </w:r>
            <w:r>
              <w:rPr>
                <w:rFonts w:ascii="仿宋" w:hAnsi="仿宋" w:eastAsia="仿宋" w:cs="Segoe UI"/>
                <w:b/>
                <w:bCs/>
                <w:color w:val="0F1115"/>
                <w:kern w:val="0"/>
                <w:szCs w:val="21"/>
              </w:rPr>
              <w:t>6</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在上述基础上，每增加1个</w:t>
            </w:r>
            <w:r>
              <w:rPr>
                <w:rFonts w:ascii="Calibri" w:hAnsi="Calibri" w:eastAsia="仿宋" w:cs="Calibri"/>
                <w:color w:val="0F1115"/>
                <w:kern w:val="0"/>
                <w:szCs w:val="21"/>
              </w:rPr>
              <w:t> </w:t>
            </w:r>
            <w:r>
              <w:rPr>
                <w:rFonts w:ascii="仿宋" w:hAnsi="仿宋" w:eastAsia="仿宋" w:cs="Segoe UI"/>
                <w:bCs/>
                <w:color w:val="0F1115"/>
                <w:kern w:val="0"/>
                <w:szCs w:val="21"/>
              </w:rPr>
              <w:t>“三级公立医院”或“省部级事业单位”</w:t>
            </w:r>
            <w:r>
              <w:rPr>
                <w:rFonts w:ascii="Calibri" w:hAnsi="Calibri" w:eastAsia="仿宋" w:cs="Calibri"/>
                <w:color w:val="0F1115"/>
                <w:kern w:val="0"/>
                <w:szCs w:val="21"/>
              </w:rPr>
              <w:t> </w:t>
            </w:r>
            <w:r>
              <w:rPr>
                <w:rFonts w:ascii="仿宋" w:hAnsi="仿宋" w:eastAsia="仿宋" w:cs="Segoe UI"/>
                <w:color w:val="0F1115"/>
                <w:kern w:val="0"/>
                <w:szCs w:val="21"/>
              </w:rPr>
              <w:t>的内部控制或全面审计服务业绩，加</w:t>
            </w:r>
            <w:r>
              <w:rPr>
                <w:rFonts w:ascii="仿宋" w:hAnsi="仿宋" w:eastAsia="仿宋" w:cs="Segoe UI"/>
                <w:b/>
                <w:bCs/>
                <w:color w:val="0F1115"/>
                <w:kern w:val="0"/>
                <w:szCs w:val="21"/>
              </w:rPr>
              <w:t>2</w:t>
            </w:r>
            <w:r>
              <w:rPr>
                <w:rFonts w:ascii="仿宋" w:hAnsi="仿宋" w:eastAsia="仿宋" w:cs="Segoe UI"/>
                <w:color w:val="0F1115"/>
                <w:kern w:val="0"/>
                <w:szCs w:val="21"/>
              </w:rPr>
              <w:t>分，本项最高加</w:t>
            </w:r>
            <w:r>
              <w:rPr>
                <w:rFonts w:ascii="仿宋" w:hAnsi="仿宋" w:eastAsia="仿宋" w:cs="Segoe UI"/>
                <w:b/>
                <w:bCs/>
                <w:color w:val="0F1115"/>
                <w:kern w:val="0"/>
                <w:szCs w:val="21"/>
              </w:rPr>
              <w:t>6</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ascii="仿宋" w:hAnsi="仿宋" w:eastAsia="仿宋" w:cs="Segoe UI"/>
                <w:color w:val="0F1115"/>
                <w:kern w:val="0"/>
                <w:szCs w:val="21"/>
              </w:rPr>
              <w:t>（须提供合同及验收证明，同一客户不重复计分）</w:t>
            </w:r>
          </w:p>
        </w:tc>
        <w:tc>
          <w:tcPr>
            <w:tcW w:w="0" w:type="auto"/>
            <w:shd w:val="clear" w:color="auto" w:fill="FFFFFF"/>
            <w:tcMar>
              <w:top w:w="150" w:type="dxa"/>
              <w:left w:w="240" w:type="dxa"/>
              <w:bottom w:w="150" w:type="dxa"/>
              <w:right w:w="240" w:type="dxa"/>
            </w:tcMar>
            <w:vAlign w:val="center"/>
          </w:tcPr>
          <w:p w14:paraId="010EE6EB">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15</w:t>
            </w:r>
          </w:p>
        </w:tc>
        <w:tc>
          <w:tcPr>
            <w:tcW w:w="0" w:type="auto"/>
            <w:shd w:val="clear" w:color="auto" w:fill="FFFFFF"/>
            <w:tcMar>
              <w:top w:w="150" w:type="dxa"/>
              <w:left w:w="240" w:type="dxa"/>
              <w:bottom w:w="150" w:type="dxa"/>
              <w:right w:w="0" w:type="dxa"/>
            </w:tcMar>
            <w:vAlign w:val="center"/>
          </w:tcPr>
          <w:p w14:paraId="33BD71A8">
            <w:pPr>
              <w:widowControl/>
              <w:jc w:val="left"/>
              <w:rPr>
                <w:rFonts w:ascii="仿宋" w:hAnsi="仿宋" w:eastAsia="仿宋" w:cs="Segoe UI"/>
                <w:color w:val="0F1115"/>
                <w:kern w:val="0"/>
                <w:szCs w:val="21"/>
              </w:rPr>
            </w:pPr>
            <w:r>
              <w:rPr>
                <w:rFonts w:ascii="仿宋" w:hAnsi="仿宋" w:eastAsia="仿宋" w:cs="Segoe UI"/>
                <w:color w:val="0F1115"/>
                <w:kern w:val="0"/>
                <w:szCs w:val="21"/>
              </w:rPr>
              <w:t>客观</w:t>
            </w:r>
          </w:p>
        </w:tc>
      </w:tr>
      <w:tr w14:paraId="40102B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29" w:type="dxa"/>
            <w:vMerge w:val="continue"/>
            <w:shd w:val="clear" w:color="auto" w:fill="FFFFFF"/>
            <w:tcMar>
              <w:top w:w="150" w:type="dxa"/>
              <w:left w:w="0" w:type="dxa"/>
              <w:bottom w:w="150" w:type="dxa"/>
              <w:right w:w="240" w:type="dxa"/>
            </w:tcMar>
            <w:vAlign w:val="center"/>
          </w:tcPr>
          <w:p w14:paraId="644FFA40">
            <w:pPr>
              <w:widowControl/>
              <w:jc w:val="left"/>
              <w:rPr>
                <w:rFonts w:ascii="仿宋" w:hAnsi="仿宋" w:eastAsia="仿宋" w:cs="Segoe UI"/>
                <w:color w:val="0F1115"/>
                <w:kern w:val="0"/>
                <w:szCs w:val="21"/>
              </w:rPr>
            </w:pPr>
          </w:p>
        </w:tc>
        <w:tc>
          <w:tcPr>
            <w:tcW w:w="956" w:type="dxa"/>
            <w:shd w:val="clear" w:color="auto" w:fill="FFFFFF"/>
            <w:tcMar>
              <w:top w:w="150" w:type="dxa"/>
              <w:left w:w="240" w:type="dxa"/>
              <w:bottom w:w="150" w:type="dxa"/>
              <w:right w:w="240" w:type="dxa"/>
            </w:tcMar>
            <w:vAlign w:val="center"/>
          </w:tcPr>
          <w:p w14:paraId="6B404885">
            <w:pPr>
              <w:widowControl/>
              <w:jc w:val="left"/>
              <w:rPr>
                <w:rFonts w:ascii="仿宋" w:hAnsi="仿宋" w:eastAsia="仿宋" w:cs="Segoe UI"/>
                <w:color w:val="0F1115"/>
                <w:kern w:val="0"/>
                <w:szCs w:val="21"/>
              </w:rPr>
            </w:pPr>
            <w:r>
              <w:rPr>
                <w:rFonts w:ascii="仿宋" w:hAnsi="仿宋" w:eastAsia="仿宋" w:cs="Segoe UI"/>
                <w:color w:val="0F1115"/>
                <w:kern w:val="0"/>
                <w:szCs w:val="21"/>
              </w:rPr>
              <w:t>项目团队配置</w:t>
            </w:r>
          </w:p>
        </w:tc>
        <w:tc>
          <w:tcPr>
            <w:tcW w:w="0" w:type="auto"/>
            <w:shd w:val="clear" w:color="auto" w:fill="FFFFFF"/>
            <w:tcMar>
              <w:top w:w="150" w:type="dxa"/>
              <w:left w:w="240" w:type="dxa"/>
              <w:bottom w:w="150" w:type="dxa"/>
              <w:right w:w="240" w:type="dxa"/>
            </w:tcMar>
            <w:vAlign w:val="center"/>
          </w:tcPr>
          <w:p w14:paraId="1C2B019E">
            <w:pPr>
              <w:widowControl/>
              <w:jc w:val="left"/>
              <w:rPr>
                <w:rFonts w:ascii="仿宋" w:hAnsi="仿宋" w:eastAsia="仿宋" w:cs="Segoe UI"/>
                <w:color w:val="0F1115"/>
                <w:kern w:val="0"/>
                <w:szCs w:val="21"/>
              </w:rPr>
            </w:pPr>
            <w:r>
              <w:rPr>
                <w:rFonts w:ascii="仿宋" w:hAnsi="仿宋" w:eastAsia="仿宋" w:cs="Segoe UI"/>
                <w:color w:val="0F1115"/>
                <w:kern w:val="0"/>
                <w:szCs w:val="21"/>
              </w:rPr>
              <w:t>1.</w:t>
            </w:r>
            <w:r>
              <w:rPr>
                <w:rFonts w:ascii="Calibri" w:hAnsi="Calibri" w:eastAsia="仿宋" w:cs="Calibri"/>
                <w:color w:val="0F1115"/>
                <w:kern w:val="0"/>
                <w:szCs w:val="21"/>
              </w:rPr>
              <w:t> </w:t>
            </w:r>
            <w:r>
              <w:rPr>
                <w:rFonts w:ascii="仿宋" w:hAnsi="仿宋" w:eastAsia="仿宋" w:cs="Segoe UI"/>
                <w:bCs/>
                <w:color w:val="0F1115"/>
                <w:kern w:val="0"/>
                <w:szCs w:val="21"/>
              </w:rPr>
              <w:t>项目负责人（</w:t>
            </w:r>
            <w:r>
              <w:rPr>
                <w:rFonts w:ascii="仿宋" w:hAnsi="仿宋" w:eastAsia="仿宋" w:cs="Segoe UI"/>
                <w:b/>
                <w:bCs/>
                <w:color w:val="0F1115"/>
                <w:kern w:val="0"/>
                <w:szCs w:val="21"/>
              </w:rPr>
              <w:t>12</w:t>
            </w:r>
            <w:r>
              <w:rPr>
                <w:rFonts w:ascii="仿宋" w:hAnsi="仿宋" w:eastAsia="仿宋" w:cs="Segoe UI"/>
                <w:bCs/>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（1）</w:t>
            </w:r>
            <w:r>
              <w:rPr>
                <w:rFonts w:ascii="仿宋" w:hAnsi="仿宋" w:eastAsia="仿宋" w:cs="Segoe UI"/>
                <w:color w:val="0F1115"/>
                <w:kern w:val="0"/>
                <w:szCs w:val="21"/>
              </w:rPr>
              <w:t>具备</w:t>
            </w:r>
            <w:r>
              <w:rPr>
                <w:rFonts w:hint="eastAsia" w:ascii="仿宋" w:hAnsi="仿宋" w:eastAsia="仿宋" w:cs="Segoe UI"/>
                <w:color w:val="0F1115"/>
                <w:kern w:val="0"/>
                <w:szCs w:val="21"/>
              </w:rPr>
              <w:t>有效的</w:t>
            </w:r>
            <w:r>
              <w:rPr>
                <w:rFonts w:ascii="仿宋" w:hAnsi="仿宋" w:eastAsia="仿宋" w:cs="Segoe UI"/>
                <w:color w:val="0F1115"/>
                <w:kern w:val="0"/>
                <w:szCs w:val="21"/>
              </w:rPr>
              <w:t>注册会计师资格（</w:t>
            </w:r>
            <w:r>
              <w:rPr>
                <w:rFonts w:ascii="仿宋" w:hAnsi="仿宋" w:eastAsia="仿宋" w:cs="Segoe UI"/>
                <w:b/>
                <w:bCs/>
                <w:color w:val="0F1115"/>
                <w:kern w:val="0"/>
                <w:szCs w:val="21"/>
              </w:rPr>
              <w:t>2</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（2）</w:t>
            </w:r>
            <w:r>
              <w:rPr>
                <w:rFonts w:ascii="仿宋" w:hAnsi="仿宋" w:eastAsia="仿宋" w:cs="Segoe UI"/>
                <w:color w:val="0F1115"/>
                <w:kern w:val="0"/>
                <w:szCs w:val="21"/>
              </w:rPr>
              <w:t>具有5年及以上审计/内控经验</w:t>
            </w:r>
            <w:r>
              <w:rPr>
                <w:rFonts w:hint="eastAsia" w:ascii="仿宋" w:hAnsi="仿宋" w:eastAsia="仿宋" w:cs="Segoe UI"/>
                <w:color w:val="0F1115"/>
                <w:kern w:val="0"/>
                <w:szCs w:val="21"/>
              </w:rPr>
              <w:t>（提供</w:t>
            </w:r>
            <w:r>
              <w:rPr>
                <w:rFonts w:ascii="仿宋" w:hAnsi="仿宋" w:eastAsia="仿宋" w:cs="Segoe UI"/>
                <w:color w:val="0F1115"/>
                <w:kern w:val="0"/>
                <w:szCs w:val="21"/>
              </w:rPr>
              <w:t>证明</w:t>
            </w:r>
            <w:r>
              <w:rPr>
                <w:rFonts w:hint="eastAsia" w:ascii="仿宋" w:hAnsi="仿宋" w:eastAsia="仿宋" w:cs="Segoe UI"/>
                <w:color w:val="0F1115"/>
                <w:kern w:val="0"/>
                <w:szCs w:val="21"/>
              </w:rPr>
              <w:t>）</w:t>
            </w:r>
            <w:r>
              <w:rPr>
                <w:rFonts w:ascii="仿宋" w:hAnsi="仿宋" w:eastAsia="仿宋" w:cs="Segoe UI"/>
                <w:color w:val="0F1115"/>
                <w:kern w:val="0"/>
                <w:szCs w:val="21"/>
              </w:rPr>
              <w:t>（</w:t>
            </w:r>
            <w:r>
              <w:rPr>
                <w:rFonts w:ascii="仿宋" w:hAnsi="仿宋" w:eastAsia="仿宋" w:cs="Segoe UI"/>
                <w:b/>
                <w:bCs/>
                <w:color w:val="0F1115"/>
                <w:kern w:val="0"/>
                <w:szCs w:val="21"/>
              </w:rPr>
              <w:t>4</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（3）</w:t>
            </w:r>
            <w:r>
              <w:rPr>
                <w:rFonts w:ascii="仿宋" w:hAnsi="仿宋" w:eastAsia="仿宋" w:cs="Segoe UI"/>
                <w:color w:val="0F1115"/>
                <w:kern w:val="0"/>
                <w:szCs w:val="21"/>
              </w:rPr>
              <w:t>近3年担任过</w:t>
            </w:r>
            <w:r>
              <w:rPr>
                <w:rFonts w:hint="eastAsia" w:ascii="仿宋" w:hAnsi="仿宋" w:eastAsia="仿宋" w:cs="Segoe UI"/>
                <w:color w:val="0F1115"/>
                <w:kern w:val="0"/>
                <w:szCs w:val="21"/>
              </w:rPr>
              <w:t>三级</w:t>
            </w:r>
            <w:r>
              <w:rPr>
                <w:rFonts w:ascii="仿宋" w:hAnsi="仿宋" w:eastAsia="仿宋" w:cs="Segoe UI"/>
                <w:color w:val="0F1115"/>
                <w:kern w:val="0"/>
                <w:szCs w:val="21"/>
              </w:rPr>
              <w:t>公立医院内控</w:t>
            </w:r>
            <w:r>
              <w:rPr>
                <w:rFonts w:hint="eastAsia" w:ascii="仿宋" w:hAnsi="仿宋" w:eastAsia="仿宋" w:cs="Segoe UI"/>
                <w:color w:val="0F1115"/>
                <w:kern w:val="0"/>
                <w:szCs w:val="21"/>
              </w:rPr>
              <w:t>、</w:t>
            </w:r>
            <w:r>
              <w:rPr>
                <w:rFonts w:ascii="仿宋" w:hAnsi="仿宋" w:eastAsia="仿宋" w:cs="Segoe UI"/>
                <w:color w:val="0F1115"/>
                <w:kern w:val="0"/>
                <w:szCs w:val="21"/>
              </w:rPr>
              <w:t>风险评估或</w:t>
            </w:r>
            <w:r>
              <w:rPr>
                <w:rFonts w:hint="eastAsia" w:ascii="仿宋" w:hAnsi="仿宋" w:eastAsia="仿宋" w:cs="Segoe UI"/>
                <w:color w:val="0F1115"/>
                <w:kern w:val="0"/>
                <w:szCs w:val="21"/>
              </w:rPr>
              <w:t>全面</w:t>
            </w:r>
            <w:r>
              <w:rPr>
                <w:rFonts w:ascii="仿宋" w:hAnsi="仿宋" w:eastAsia="仿宋" w:cs="Segoe UI"/>
                <w:color w:val="0F1115"/>
                <w:kern w:val="0"/>
                <w:szCs w:val="21"/>
              </w:rPr>
              <w:t>审计项目的负责人</w:t>
            </w:r>
            <w:r>
              <w:rPr>
                <w:rFonts w:hint="eastAsia" w:ascii="仿宋" w:hAnsi="仿宋" w:eastAsia="仿宋" w:cs="Segoe UI"/>
                <w:color w:val="0F1115"/>
                <w:kern w:val="0"/>
                <w:szCs w:val="21"/>
              </w:rPr>
              <w:t>，</w:t>
            </w:r>
            <w:r>
              <w:rPr>
                <w:rFonts w:ascii="仿宋" w:hAnsi="仿宋" w:eastAsia="仿宋" w:cs="Segoe UI"/>
                <w:color w:val="0F1115"/>
                <w:kern w:val="0"/>
                <w:szCs w:val="21"/>
              </w:rPr>
              <w:t>内有</w:t>
            </w:r>
            <w:r>
              <w:rPr>
                <w:rFonts w:hint="eastAsia" w:ascii="仿宋" w:hAnsi="仿宋" w:eastAsia="仿宋" w:cs="Segoe UI"/>
                <w:color w:val="0F1115"/>
                <w:kern w:val="0"/>
                <w:szCs w:val="21"/>
              </w:rPr>
              <w:t>1个</w:t>
            </w:r>
            <w:r>
              <w:rPr>
                <w:rFonts w:ascii="仿宋" w:hAnsi="仿宋" w:eastAsia="仿宋" w:cs="Segoe UI"/>
                <w:color w:val="0F1115"/>
                <w:kern w:val="0"/>
                <w:szCs w:val="21"/>
              </w:rPr>
              <w:t>项目得</w:t>
            </w:r>
            <w:r>
              <w:rPr>
                <w:rFonts w:hint="eastAsia" w:ascii="仿宋" w:hAnsi="仿宋" w:eastAsia="仿宋" w:cs="Segoe UI"/>
                <w:color w:val="0F1115"/>
                <w:kern w:val="0"/>
                <w:szCs w:val="21"/>
              </w:rPr>
              <w:t>2分</w:t>
            </w:r>
            <w:r>
              <w:rPr>
                <w:rFonts w:ascii="仿宋" w:hAnsi="仿宋" w:eastAsia="仿宋" w:cs="Segoe UI"/>
                <w:color w:val="0F1115"/>
                <w:kern w:val="0"/>
                <w:szCs w:val="21"/>
              </w:rPr>
              <w:t>，本项目最高</w:t>
            </w:r>
            <w:r>
              <w:rPr>
                <w:rFonts w:hint="eastAsia" w:ascii="仿宋" w:hAnsi="仿宋" w:eastAsia="仿宋" w:cs="Segoe UI"/>
                <w:color w:val="0F1115"/>
                <w:kern w:val="0"/>
                <w:szCs w:val="21"/>
              </w:rPr>
              <w:t>6分</w:t>
            </w:r>
            <w:r>
              <w:rPr>
                <w:rFonts w:ascii="仿宋" w:hAnsi="仿宋" w:eastAsia="仿宋" w:cs="Segoe UI"/>
                <w:color w:val="0F1115"/>
                <w:kern w:val="0"/>
                <w:szCs w:val="21"/>
              </w:rPr>
              <w:t>（</w:t>
            </w:r>
            <w:r>
              <w:rPr>
                <w:rFonts w:ascii="仿宋" w:hAnsi="仿宋" w:eastAsia="仿宋" w:cs="Segoe UI"/>
                <w:b/>
                <w:bCs/>
                <w:color w:val="0F1115"/>
                <w:kern w:val="0"/>
                <w:szCs w:val="21"/>
              </w:rPr>
              <w:t>6</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ascii="仿宋" w:hAnsi="仿宋" w:eastAsia="仿宋" w:cs="Segoe UI"/>
                <w:color w:val="0F1115"/>
                <w:kern w:val="0"/>
                <w:szCs w:val="21"/>
              </w:rPr>
              <w:t>2.</w:t>
            </w:r>
            <w:r>
              <w:rPr>
                <w:rFonts w:ascii="Calibri" w:hAnsi="Calibri" w:eastAsia="仿宋" w:cs="Calibri"/>
                <w:color w:val="0F1115"/>
                <w:kern w:val="0"/>
                <w:szCs w:val="21"/>
              </w:rPr>
              <w:t> </w:t>
            </w:r>
            <w:r>
              <w:rPr>
                <w:rFonts w:ascii="仿宋" w:hAnsi="仿宋" w:eastAsia="仿宋" w:cs="Segoe UI"/>
                <w:bCs/>
                <w:color w:val="0F1115"/>
                <w:kern w:val="0"/>
                <w:szCs w:val="21"/>
              </w:rPr>
              <w:t>团队人员（</w:t>
            </w:r>
            <w:r>
              <w:rPr>
                <w:rFonts w:ascii="仿宋" w:hAnsi="仿宋" w:eastAsia="仿宋" w:cs="Segoe UI"/>
                <w:b/>
                <w:bCs/>
                <w:color w:val="0F1115"/>
                <w:kern w:val="0"/>
                <w:szCs w:val="21"/>
              </w:rPr>
              <w:t>13</w:t>
            </w:r>
            <w:r>
              <w:rPr>
                <w:rFonts w:ascii="仿宋" w:hAnsi="仿宋" w:eastAsia="仿宋" w:cs="Segoe UI"/>
                <w:bCs/>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（1）</w:t>
            </w:r>
            <w:r>
              <w:rPr>
                <w:rFonts w:ascii="仿宋" w:hAnsi="仿宋" w:eastAsia="仿宋" w:cs="Segoe UI"/>
                <w:color w:val="0F1115"/>
                <w:kern w:val="0"/>
                <w:szCs w:val="21"/>
              </w:rPr>
              <w:t>承诺配备团队不少于5人（含负责人）（</w:t>
            </w:r>
            <w:r>
              <w:rPr>
                <w:rFonts w:ascii="仿宋" w:hAnsi="仿宋" w:eastAsia="仿宋" w:cs="Segoe UI"/>
                <w:b/>
                <w:bCs/>
                <w:color w:val="0F1115"/>
                <w:kern w:val="0"/>
                <w:szCs w:val="21"/>
              </w:rPr>
              <w:t>2</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（2）</w:t>
            </w:r>
            <w:r>
              <w:rPr>
                <w:rFonts w:ascii="仿宋" w:hAnsi="仿宋" w:eastAsia="仿宋" w:cs="Segoe UI"/>
                <w:color w:val="0F1115"/>
                <w:kern w:val="0"/>
                <w:szCs w:val="21"/>
              </w:rPr>
              <w:t>团队中除负责人外，具有注册会计师或国际注册内部审计师（CIA）资格的人员，每有1人加</w:t>
            </w:r>
            <w:r>
              <w:rPr>
                <w:rFonts w:ascii="仿宋" w:hAnsi="仿宋" w:eastAsia="仿宋" w:cs="Segoe UI"/>
                <w:b/>
                <w:bCs/>
                <w:color w:val="0F1115"/>
                <w:kern w:val="0"/>
                <w:szCs w:val="21"/>
              </w:rPr>
              <w:t>1</w:t>
            </w:r>
            <w:r>
              <w:rPr>
                <w:rFonts w:ascii="仿宋" w:hAnsi="仿宋" w:eastAsia="仿宋" w:cs="Segoe UI"/>
                <w:color w:val="0F1115"/>
                <w:kern w:val="0"/>
                <w:szCs w:val="21"/>
              </w:rPr>
              <w:t>分，最高</w:t>
            </w:r>
            <w:r>
              <w:rPr>
                <w:rFonts w:ascii="仿宋" w:hAnsi="仿宋" w:eastAsia="仿宋" w:cs="Segoe UI"/>
                <w:b/>
                <w:bCs/>
                <w:color w:val="0F1115"/>
                <w:kern w:val="0"/>
                <w:szCs w:val="21"/>
              </w:rPr>
              <w:t>3</w:t>
            </w:r>
            <w:r>
              <w:rPr>
                <w:rFonts w:ascii="仿宋" w:hAnsi="仿宋" w:eastAsia="仿宋" w:cs="Segoe UI"/>
                <w:color w:val="0F1115"/>
                <w:kern w:val="0"/>
                <w:szCs w:val="21"/>
              </w:rPr>
              <w:t>分；</w:t>
            </w:r>
            <w:r>
              <w:rPr>
                <w:rFonts w:ascii="仿宋" w:hAnsi="仿宋" w:eastAsia="仿宋" w:cs="Segoe UI"/>
                <w:color w:val="0F1115"/>
                <w:kern w:val="0"/>
                <w:szCs w:val="21"/>
              </w:rPr>
              <w:br w:type="textWrapping"/>
            </w:r>
            <w:r>
              <w:rPr>
                <w:rFonts w:hint="eastAsia" w:ascii="仿宋" w:hAnsi="仿宋" w:eastAsia="仿宋" w:cs="Segoe UI"/>
                <w:color w:val="0F1115"/>
                <w:kern w:val="0"/>
                <w:szCs w:val="21"/>
              </w:rPr>
              <w:t>（3）</w:t>
            </w:r>
            <w:r>
              <w:rPr>
                <w:rFonts w:ascii="仿宋" w:hAnsi="仿宋" w:eastAsia="仿宋" w:cs="Segoe UI"/>
                <w:color w:val="0F1115"/>
                <w:kern w:val="0"/>
                <w:szCs w:val="21"/>
              </w:rPr>
              <w:t>针对本项目制定的详细驻场服务计划</w:t>
            </w:r>
            <w:r>
              <w:rPr>
                <w:rFonts w:hint="eastAsia" w:ascii="仿宋" w:hAnsi="仿宋" w:eastAsia="仿宋" w:cs="Segoe UI"/>
                <w:color w:val="0F1115"/>
                <w:kern w:val="0"/>
                <w:szCs w:val="21"/>
              </w:rPr>
              <w:t>详细</w:t>
            </w:r>
            <w:r>
              <w:rPr>
                <w:rFonts w:ascii="仿宋" w:hAnsi="仿宋" w:eastAsia="仿宋" w:cs="Segoe UI"/>
                <w:color w:val="0F1115"/>
                <w:kern w:val="0"/>
                <w:szCs w:val="21"/>
              </w:rPr>
              <w:t>、</w:t>
            </w:r>
            <w:r>
              <w:rPr>
                <w:rFonts w:hint="eastAsia" w:ascii="仿宋" w:hAnsi="仿宋" w:eastAsia="仿宋" w:cs="Segoe UI"/>
                <w:color w:val="0F1115"/>
                <w:kern w:val="0"/>
                <w:szCs w:val="21"/>
              </w:rPr>
              <w:t>合理</w:t>
            </w:r>
            <w:r>
              <w:rPr>
                <w:rFonts w:ascii="仿宋" w:hAnsi="仿宋" w:eastAsia="仿宋" w:cs="Segoe UI"/>
                <w:color w:val="0F1115"/>
                <w:kern w:val="0"/>
                <w:szCs w:val="21"/>
              </w:rPr>
              <w:t>，人员保障方案，</w:t>
            </w:r>
            <w:r>
              <w:rPr>
                <w:rFonts w:hint="eastAsia" w:ascii="仿宋" w:hAnsi="仿宋" w:eastAsia="仿宋" w:cs="Segoe UI"/>
                <w:color w:val="0F1115"/>
                <w:kern w:val="0"/>
                <w:szCs w:val="21"/>
              </w:rPr>
              <w:t>职责</w:t>
            </w:r>
            <w:r>
              <w:rPr>
                <w:rFonts w:ascii="仿宋" w:hAnsi="仿宋" w:eastAsia="仿宋" w:cs="Segoe UI"/>
                <w:color w:val="0F1115"/>
                <w:kern w:val="0"/>
                <w:szCs w:val="21"/>
              </w:rPr>
              <w:t>明确，时间保障充分</w:t>
            </w:r>
            <w:r>
              <w:rPr>
                <w:rFonts w:hint="eastAsia" w:ascii="仿宋" w:hAnsi="仿宋" w:eastAsia="仿宋" w:cs="Segoe UI"/>
                <w:color w:val="0F1115"/>
                <w:kern w:val="0"/>
                <w:szCs w:val="21"/>
              </w:rPr>
              <w:t>。</w:t>
            </w:r>
            <w:r>
              <w:rPr>
                <w:rFonts w:ascii="仿宋" w:hAnsi="仿宋" w:eastAsia="仿宋" w:cs="Segoe UI"/>
                <w:color w:val="0F1115"/>
                <w:kern w:val="0"/>
                <w:szCs w:val="21"/>
              </w:rPr>
              <w:t>优得</w:t>
            </w:r>
            <w:r>
              <w:rPr>
                <w:rFonts w:hint="eastAsia" w:ascii="仿宋" w:hAnsi="仿宋" w:eastAsia="仿宋" w:cs="Segoe UI"/>
                <w:color w:val="0F1115"/>
                <w:kern w:val="0"/>
                <w:szCs w:val="21"/>
              </w:rPr>
              <w:t>：</w:t>
            </w:r>
            <w:r>
              <w:rPr>
                <w:rFonts w:ascii="仿宋" w:hAnsi="仿宋" w:eastAsia="仿宋" w:cs="Segoe UI"/>
                <w:b/>
                <w:bCs/>
                <w:color w:val="0F1115"/>
                <w:kern w:val="0"/>
                <w:szCs w:val="21"/>
              </w:rPr>
              <w:t>8</w:t>
            </w:r>
            <w:r>
              <w:rPr>
                <w:rFonts w:ascii="仿宋" w:hAnsi="仿宋" w:eastAsia="仿宋" w:cs="Segoe UI"/>
                <w:color w:val="0F1115"/>
                <w:kern w:val="0"/>
                <w:szCs w:val="21"/>
              </w:rPr>
              <w:t>分，良得</w:t>
            </w:r>
            <w:r>
              <w:rPr>
                <w:rFonts w:hint="eastAsia" w:ascii="仿宋" w:hAnsi="仿宋" w:eastAsia="仿宋" w:cs="Segoe UI"/>
                <w:color w:val="0F1115"/>
                <w:kern w:val="0"/>
                <w:szCs w:val="21"/>
              </w:rPr>
              <w:t>：</w:t>
            </w:r>
            <w:r>
              <w:rPr>
                <w:rFonts w:ascii="仿宋" w:hAnsi="仿宋" w:eastAsia="仿宋" w:cs="Segoe UI"/>
                <w:b/>
                <w:bCs/>
                <w:color w:val="0F1115"/>
                <w:kern w:val="0"/>
                <w:szCs w:val="21"/>
              </w:rPr>
              <w:t>6</w:t>
            </w:r>
            <w:r>
              <w:rPr>
                <w:rFonts w:ascii="仿宋" w:hAnsi="仿宋" w:eastAsia="仿宋" w:cs="Segoe UI"/>
                <w:color w:val="0F1115"/>
                <w:kern w:val="0"/>
                <w:szCs w:val="21"/>
              </w:rPr>
              <w:t>分，</w:t>
            </w:r>
            <w:r>
              <w:rPr>
                <w:rFonts w:hint="eastAsia" w:ascii="仿宋" w:hAnsi="仿宋" w:eastAsia="仿宋" w:cs="Segoe UI"/>
                <w:color w:val="0F1115"/>
                <w:kern w:val="0"/>
                <w:szCs w:val="21"/>
              </w:rPr>
              <w:t>中得：4分</w:t>
            </w:r>
            <w:r>
              <w:rPr>
                <w:rFonts w:ascii="仿宋" w:hAnsi="仿宋" w:eastAsia="仿宋" w:cs="Segoe UI"/>
                <w:color w:val="0F1115"/>
                <w:kern w:val="0"/>
                <w:szCs w:val="21"/>
              </w:rPr>
              <w:t>，</w:t>
            </w:r>
            <w:r>
              <w:rPr>
                <w:rFonts w:ascii="仿宋" w:hAnsi="仿宋" w:eastAsia="仿宋" w:cs="Segoe UI"/>
                <w:kern w:val="0"/>
                <w:szCs w:val="21"/>
              </w:rPr>
              <w:t>差的</w:t>
            </w:r>
            <w:bookmarkStart w:id="2" w:name="_GoBack"/>
            <w:bookmarkEnd w:id="2"/>
            <w:r>
              <w:rPr>
                <w:rFonts w:hint="eastAsia" w:ascii="仿宋" w:hAnsi="仿宋" w:eastAsia="仿宋" w:cs="Segoe UI"/>
                <w:kern w:val="0"/>
                <w:szCs w:val="21"/>
              </w:rPr>
              <w:t>：</w:t>
            </w:r>
            <w:r>
              <w:rPr>
                <w:rFonts w:ascii="仿宋" w:hAnsi="仿宋" w:eastAsia="仿宋" w:cs="Segoe UI"/>
                <w:kern w:val="0"/>
                <w:szCs w:val="21"/>
              </w:rPr>
              <w:t>2分。</w:t>
            </w:r>
          </w:p>
        </w:tc>
        <w:tc>
          <w:tcPr>
            <w:tcW w:w="0" w:type="auto"/>
            <w:shd w:val="clear" w:color="auto" w:fill="FFFFFF"/>
            <w:tcMar>
              <w:top w:w="150" w:type="dxa"/>
              <w:left w:w="240" w:type="dxa"/>
              <w:bottom w:w="150" w:type="dxa"/>
              <w:right w:w="240" w:type="dxa"/>
            </w:tcMar>
            <w:vAlign w:val="center"/>
          </w:tcPr>
          <w:p w14:paraId="38E9C212">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25</w:t>
            </w:r>
          </w:p>
        </w:tc>
        <w:tc>
          <w:tcPr>
            <w:tcW w:w="0" w:type="auto"/>
            <w:shd w:val="clear" w:color="auto" w:fill="FFFFFF"/>
            <w:tcMar>
              <w:top w:w="150" w:type="dxa"/>
              <w:left w:w="240" w:type="dxa"/>
              <w:bottom w:w="150" w:type="dxa"/>
              <w:right w:w="0" w:type="dxa"/>
            </w:tcMar>
            <w:vAlign w:val="center"/>
          </w:tcPr>
          <w:p w14:paraId="7AC704CD">
            <w:pPr>
              <w:widowControl/>
              <w:jc w:val="left"/>
              <w:rPr>
                <w:rFonts w:ascii="仿宋" w:hAnsi="仿宋" w:eastAsia="仿宋" w:cs="Segoe UI"/>
                <w:color w:val="0F1115"/>
                <w:kern w:val="0"/>
                <w:szCs w:val="21"/>
              </w:rPr>
            </w:pPr>
            <w:r>
              <w:rPr>
                <w:rFonts w:ascii="仿宋" w:hAnsi="仿宋" w:eastAsia="仿宋" w:cs="Segoe UI"/>
                <w:color w:val="0F1115"/>
                <w:kern w:val="0"/>
                <w:szCs w:val="21"/>
              </w:rPr>
              <w:t>客观/主观</w:t>
            </w:r>
          </w:p>
        </w:tc>
      </w:tr>
      <w:tr w14:paraId="136DDC0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29" w:type="dxa"/>
            <w:vMerge w:val="restart"/>
            <w:shd w:val="clear" w:color="auto" w:fill="FFFFFF"/>
            <w:tcMar>
              <w:top w:w="150" w:type="dxa"/>
              <w:left w:w="0" w:type="dxa"/>
              <w:bottom w:w="150" w:type="dxa"/>
              <w:right w:w="240" w:type="dxa"/>
            </w:tcMar>
            <w:vAlign w:val="center"/>
          </w:tcPr>
          <w:p w14:paraId="04C685D5">
            <w:pPr>
              <w:widowControl/>
              <w:jc w:val="left"/>
              <w:rPr>
                <w:rFonts w:ascii="仿宋" w:hAnsi="仿宋" w:eastAsia="仿宋" w:cs="Segoe UI"/>
                <w:color w:val="0F1115"/>
                <w:kern w:val="0"/>
                <w:szCs w:val="21"/>
              </w:rPr>
            </w:pPr>
            <w:r>
              <w:rPr>
                <w:rFonts w:ascii="仿宋" w:hAnsi="仿宋" w:eastAsia="仿宋" w:cs="Segoe UI"/>
                <w:bCs/>
                <w:color w:val="0F1115"/>
                <w:kern w:val="0"/>
                <w:szCs w:val="21"/>
              </w:rPr>
              <w:t>技术部分(</w:t>
            </w:r>
            <w:r>
              <w:rPr>
                <w:rFonts w:ascii="仿宋" w:hAnsi="仿宋" w:eastAsia="仿宋" w:cs="Segoe UI"/>
                <w:b/>
                <w:bCs/>
                <w:color w:val="0F1115"/>
                <w:kern w:val="0"/>
                <w:szCs w:val="21"/>
              </w:rPr>
              <w:t>50</w:t>
            </w:r>
            <w:r>
              <w:rPr>
                <w:rFonts w:ascii="仿宋" w:hAnsi="仿宋" w:eastAsia="仿宋" w:cs="Segoe UI"/>
                <w:bCs/>
                <w:color w:val="0F1115"/>
                <w:kern w:val="0"/>
                <w:szCs w:val="21"/>
              </w:rPr>
              <w:t>分)</w:t>
            </w:r>
          </w:p>
        </w:tc>
        <w:tc>
          <w:tcPr>
            <w:tcW w:w="956" w:type="dxa"/>
            <w:shd w:val="clear" w:color="auto" w:fill="FFFFFF"/>
            <w:tcMar>
              <w:top w:w="150" w:type="dxa"/>
              <w:left w:w="240" w:type="dxa"/>
              <w:bottom w:w="150" w:type="dxa"/>
              <w:right w:w="240" w:type="dxa"/>
            </w:tcMar>
            <w:vAlign w:val="center"/>
          </w:tcPr>
          <w:p w14:paraId="4F08F0FA">
            <w:pPr>
              <w:widowControl/>
              <w:jc w:val="left"/>
              <w:rPr>
                <w:rFonts w:ascii="仿宋" w:hAnsi="仿宋" w:eastAsia="仿宋" w:cs="Segoe UI"/>
                <w:color w:val="0F1115"/>
                <w:kern w:val="0"/>
                <w:szCs w:val="21"/>
              </w:rPr>
            </w:pPr>
            <w:r>
              <w:rPr>
                <w:rFonts w:ascii="仿宋" w:hAnsi="仿宋" w:eastAsia="仿宋" w:cs="Segoe UI"/>
                <w:color w:val="0F1115"/>
                <w:kern w:val="0"/>
                <w:szCs w:val="21"/>
              </w:rPr>
              <w:t>服务方案的理解与整体规划</w:t>
            </w:r>
          </w:p>
        </w:tc>
        <w:tc>
          <w:tcPr>
            <w:tcW w:w="0" w:type="auto"/>
            <w:shd w:val="clear" w:color="auto" w:fill="FFFFFF"/>
            <w:tcMar>
              <w:top w:w="150" w:type="dxa"/>
              <w:left w:w="240" w:type="dxa"/>
              <w:bottom w:w="150" w:type="dxa"/>
              <w:right w:w="240" w:type="dxa"/>
            </w:tcMar>
            <w:vAlign w:val="center"/>
          </w:tcPr>
          <w:p w14:paraId="2511944B">
            <w:pPr>
              <w:widowControl/>
              <w:jc w:val="left"/>
              <w:rPr>
                <w:rFonts w:ascii="仿宋" w:hAnsi="仿宋" w:eastAsia="仿宋" w:cs="Segoe UI"/>
                <w:color w:val="0F1115"/>
                <w:kern w:val="0"/>
                <w:szCs w:val="21"/>
              </w:rPr>
            </w:pPr>
            <w:r>
              <w:rPr>
                <w:rFonts w:ascii="仿宋" w:hAnsi="仿宋" w:eastAsia="仿宋" w:cs="Segoe UI"/>
                <w:color w:val="0F1115"/>
                <w:kern w:val="0"/>
                <w:szCs w:val="21"/>
              </w:rPr>
              <w:t>根据对本项目背景、政策要求及医院内控特点的理解深度</w:t>
            </w:r>
            <w:r>
              <w:rPr>
                <w:rFonts w:hint="eastAsia" w:ascii="仿宋" w:hAnsi="仿宋" w:eastAsia="仿宋" w:cs="Segoe UI"/>
                <w:color w:val="0F1115"/>
                <w:kern w:val="0"/>
                <w:szCs w:val="21"/>
              </w:rPr>
              <w:t>和</w:t>
            </w:r>
            <w:r>
              <w:rPr>
                <w:rFonts w:ascii="仿宋" w:hAnsi="仿宋" w:eastAsia="仿宋" w:cs="Segoe UI"/>
                <w:color w:val="0F1115"/>
                <w:kern w:val="0"/>
                <w:szCs w:val="21"/>
              </w:rPr>
              <w:t>整体规划的科学性进行评分：</w:t>
            </w:r>
            <w:r>
              <w:rPr>
                <w:rFonts w:ascii="仿宋" w:hAnsi="仿宋" w:eastAsia="仿宋" w:cs="Segoe UI"/>
                <w:color w:val="0F1115"/>
                <w:kern w:val="0"/>
                <w:szCs w:val="21"/>
              </w:rPr>
              <w:br w:type="textWrapping"/>
            </w:r>
            <w:r>
              <w:rPr>
                <w:rFonts w:ascii="仿宋" w:hAnsi="仿宋" w:eastAsia="仿宋" w:cs="Segoe UI"/>
                <w:bCs/>
                <w:color w:val="0F1115"/>
                <w:kern w:val="0"/>
                <w:szCs w:val="21"/>
              </w:rPr>
              <w:t>优（</w:t>
            </w:r>
            <w:r>
              <w:rPr>
                <w:rFonts w:ascii="仿宋" w:hAnsi="仿宋" w:eastAsia="仿宋" w:cs="Segoe UI"/>
                <w:b/>
                <w:bCs/>
                <w:color w:val="0F1115"/>
                <w:kern w:val="0"/>
                <w:szCs w:val="21"/>
              </w:rPr>
              <w:t>12-15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理解深刻，能精准识别医院单位层面及业务层面的</w:t>
            </w:r>
            <w:r>
              <w:rPr>
                <w:rFonts w:hint="eastAsia" w:ascii="仿宋" w:hAnsi="仿宋" w:eastAsia="仿宋" w:cs="Segoe UI"/>
                <w:color w:val="0F1115"/>
                <w:kern w:val="0"/>
                <w:szCs w:val="21"/>
              </w:rPr>
              <w:t>核心风险</w:t>
            </w:r>
            <w:r>
              <w:rPr>
                <w:rFonts w:ascii="仿宋" w:hAnsi="仿宋" w:eastAsia="仿宋" w:cs="Segoe UI"/>
                <w:color w:val="0F1115"/>
                <w:kern w:val="0"/>
                <w:szCs w:val="21"/>
              </w:rPr>
              <w:t>与评价重点，整体工作方案架构完整、逻辑清洗、重点突出，完全契合医院管理实际。</w:t>
            </w:r>
            <w:r>
              <w:rPr>
                <w:rFonts w:ascii="仿宋" w:hAnsi="仿宋" w:eastAsia="仿宋" w:cs="Segoe UI"/>
                <w:bCs/>
                <w:color w:val="0F1115"/>
                <w:kern w:val="0"/>
                <w:szCs w:val="21"/>
              </w:rPr>
              <w:t>良（</w:t>
            </w:r>
            <w:r>
              <w:rPr>
                <w:rFonts w:ascii="仿宋" w:hAnsi="仿宋" w:eastAsia="仿宋" w:cs="Segoe UI"/>
                <w:b/>
                <w:bCs/>
                <w:color w:val="0F1115"/>
                <w:kern w:val="0"/>
                <w:szCs w:val="21"/>
              </w:rPr>
              <w:t>8-11</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理解较准确，能识别主要风险点，</w:t>
            </w:r>
            <w:r>
              <w:rPr>
                <w:rFonts w:hint="eastAsia" w:ascii="仿宋" w:hAnsi="仿宋" w:eastAsia="仿宋" w:cs="Segoe UI"/>
                <w:color w:val="0F1115"/>
                <w:kern w:val="0"/>
                <w:szCs w:val="21"/>
              </w:rPr>
              <w:t>工作方案</w:t>
            </w:r>
            <w:r>
              <w:rPr>
                <w:rFonts w:ascii="仿宋" w:hAnsi="仿宋" w:eastAsia="仿宋" w:cs="Segoe UI"/>
                <w:color w:val="0F1115"/>
                <w:kern w:val="0"/>
                <w:szCs w:val="21"/>
              </w:rPr>
              <w:t>基本合理</w:t>
            </w:r>
            <w:r>
              <w:rPr>
                <w:rFonts w:hint="eastAsia" w:ascii="仿宋" w:hAnsi="仿宋" w:eastAsia="仿宋" w:cs="Segoe UI"/>
                <w:color w:val="0F1115"/>
                <w:kern w:val="0"/>
                <w:szCs w:val="21"/>
              </w:rPr>
              <w:t>，</w:t>
            </w:r>
            <w:r>
              <w:rPr>
                <w:rFonts w:ascii="仿宋" w:hAnsi="仿宋" w:eastAsia="仿宋" w:cs="Segoe UI"/>
                <w:color w:val="0F1115"/>
                <w:kern w:val="0"/>
                <w:szCs w:val="21"/>
              </w:rPr>
              <w:t>覆盖了关键领域。</w:t>
            </w:r>
            <w:r>
              <w:rPr>
                <w:rFonts w:ascii="仿宋" w:hAnsi="仿宋" w:eastAsia="仿宋" w:cs="Segoe UI"/>
                <w:color w:val="0F1115"/>
                <w:kern w:val="0"/>
                <w:szCs w:val="21"/>
              </w:rPr>
              <w:br w:type="textWrapping"/>
            </w:r>
            <w:r>
              <w:rPr>
                <w:rFonts w:ascii="仿宋" w:hAnsi="仿宋" w:eastAsia="仿宋" w:cs="Segoe UI"/>
                <w:bCs/>
                <w:color w:val="0F1115"/>
                <w:kern w:val="0"/>
                <w:szCs w:val="21"/>
              </w:rPr>
              <w:t>中（</w:t>
            </w:r>
            <w:r>
              <w:rPr>
                <w:rFonts w:ascii="仿宋" w:hAnsi="仿宋" w:eastAsia="仿宋" w:cs="Segoe UI"/>
                <w:b/>
                <w:bCs/>
                <w:color w:val="0F1115"/>
                <w:kern w:val="0"/>
                <w:szCs w:val="21"/>
              </w:rPr>
              <w:t>4-7</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理解一般，</w:t>
            </w:r>
            <w:r>
              <w:rPr>
                <w:rFonts w:hint="eastAsia" w:ascii="仿宋" w:hAnsi="仿宋" w:eastAsia="仿宋" w:cs="Segoe UI"/>
                <w:color w:val="0F1115"/>
                <w:kern w:val="0"/>
                <w:szCs w:val="21"/>
              </w:rPr>
              <w:t>工作</w:t>
            </w:r>
            <w:r>
              <w:rPr>
                <w:rFonts w:ascii="仿宋" w:hAnsi="仿宋" w:eastAsia="仿宋" w:cs="Segoe UI"/>
                <w:color w:val="0F1115"/>
                <w:kern w:val="0"/>
                <w:szCs w:val="21"/>
              </w:rPr>
              <w:t>方案存在部分欠缺或与医院特点结合不够紧密。</w:t>
            </w:r>
            <w:r>
              <w:rPr>
                <w:rFonts w:ascii="仿宋" w:hAnsi="仿宋" w:eastAsia="仿宋" w:cs="Segoe UI"/>
                <w:bCs/>
                <w:color w:val="0F1115"/>
                <w:kern w:val="0"/>
                <w:szCs w:val="21"/>
              </w:rPr>
              <w:t>差（</w:t>
            </w:r>
            <w:r>
              <w:rPr>
                <w:rFonts w:ascii="仿宋" w:hAnsi="仿宋" w:eastAsia="仿宋" w:cs="Segoe UI"/>
                <w:b/>
                <w:bCs/>
                <w:color w:val="0F1115"/>
                <w:kern w:val="0"/>
                <w:szCs w:val="21"/>
              </w:rPr>
              <w:t>0-3</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理解浅显，</w:t>
            </w:r>
            <w:r>
              <w:rPr>
                <w:rFonts w:hint="eastAsia" w:ascii="仿宋" w:hAnsi="仿宋" w:eastAsia="仿宋" w:cs="Segoe UI"/>
                <w:color w:val="0F1115"/>
                <w:kern w:val="0"/>
                <w:szCs w:val="21"/>
              </w:rPr>
              <w:t>方案</w:t>
            </w:r>
            <w:r>
              <w:rPr>
                <w:rFonts w:ascii="仿宋" w:hAnsi="仿宋" w:eastAsia="仿宋" w:cs="Segoe UI"/>
                <w:color w:val="0F1115"/>
                <w:kern w:val="0"/>
                <w:szCs w:val="21"/>
              </w:rPr>
              <w:t>流于形式</w:t>
            </w:r>
            <w:r>
              <w:rPr>
                <w:rFonts w:hint="eastAsia" w:ascii="仿宋" w:hAnsi="仿宋" w:eastAsia="仿宋" w:cs="Segoe UI"/>
                <w:color w:val="0F1115"/>
                <w:kern w:val="0"/>
                <w:szCs w:val="21"/>
              </w:rPr>
              <w:t>或</w:t>
            </w:r>
            <w:r>
              <w:rPr>
                <w:rFonts w:ascii="仿宋" w:hAnsi="仿宋" w:eastAsia="仿宋" w:cs="Segoe UI"/>
                <w:color w:val="0F1115"/>
                <w:kern w:val="0"/>
                <w:szCs w:val="21"/>
              </w:rPr>
              <w:t>存在明显不合理支出。</w:t>
            </w:r>
          </w:p>
        </w:tc>
        <w:tc>
          <w:tcPr>
            <w:tcW w:w="0" w:type="auto"/>
            <w:shd w:val="clear" w:color="auto" w:fill="FFFFFF"/>
            <w:tcMar>
              <w:top w:w="150" w:type="dxa"/>
              <w:left w:w="240" w:type="dxa"/>
              <w:bottom w:w="150" w:type="dxa"/>
              <w:right w:w="240" w:type="dxa"/>
            </w:tcMar>
            <w:vAlign w:val="center"/>
          </w:tcPr>
          <w:p w14:paraId="2E72C32F">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15</w:t>
            </w:r>
          </w:p>
        </w:tc>
        <w:tc>
          <w:tcPr>
            <w:tcW w:w="0" w:type="auto"/>
            <w:shd w:val="clear" w:color="auto" w:fill="FFFFFF"/>
            <w:tcMar>
              <w:top w:w="150" w:type="dxa"/>
              <w:left w:w="240" w:type="dxa"/>
              <w:bottom w:w="150" w:type="dxa"/>
              <w:right w:w="0" w:type="dxa"/>
            </w:tcMar>
            <w:vAlign w:val="center"/>
          </w:tcPr>
          <w:p w14:paraId="03B6B5EC">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7328BF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c>
          <w:tcPr>
            <w:tcW w:w="1129" w:type="dxa"/>
            <w:vMerge w:val="continue"/>
            <w:shd w:val="clear" w:color="auto" w:fill="FFFFFF"/>
            <w:tcMar>
              <w:top w:w="150" w:type="dxa"/>
              <w:left w:w="0" w:type="dxa"/>
              <w:bottom w:w="150" w:type="dxa"/>
              <w:right w:w="240" w:type="dxa"/>
            </w:tcMar>
            <w:vAlign w:val="center"/>
          </w:tcPr>
          <w:p w14:paraId="789EC258">
            <w:pPr>
              <w:widowControl/>
              <w:jc w:val="left"/>
              <w:rPr>
                <w:rFonts w:ascii="仿宋" w:hAnsi="仿宋" w:eastAsia="仿宋" w:cs="Segoe UI"/>
                <w:color w:val="0F1115"/>
                <w:kern w:val="0"/>
                <w:szCs w:val="21"/>
              </w:rPr>
            </w:pPr>
          </w:p>
        </w:tc>
        <w:tc>
          <w:tcPr>
            <w:tcW w:w="956" w:type="dxa"/>
            <w:shd w:val="clear" w:color="auto" w:fill="FFFFFF"/>
            <w:tcMar>
              <w:top w:w="150" w:type="dxa"/>
              <w:left w:w="240" w:type="dxa"/>
              <w:bottom w:w="150" w:type="dxa"/>
              <w:right w:w="240" w:type="dxa"/>
            </w:tcMar>
            <w:vAlign w:val="center"/>
          </w:tcPr>
          <w:p w14:paraId="7D92A6F2">
            <w:pPr>
              <w:widowControl/>
              <w:jc w:val="left"/>
              <w:rPr>
                <w:rFonts w:ascii="仿宋" w:hAnsi="仿宋" w:eastAsia="仿宋" w:cs="Segoe UI"/>
                <w:color w:val="0F1115"/>
                <w:kern w:val="0"/>
                <w:szCs w:val="21"/>
              </w:rPr>
            </w:pPr>
            <w:r>
              <w:rPr>
                <w:rFonts w:ascii="仿宋" w:hAnsi="仿宋" w:eastAsia="仿宋" w:cs="Segoe UI"/>
                <w:color w:val="0F1115"/>
                <w:kern w:val="0"/>
                <w:szCs w:val="21"/>
              </w:rPr>
              <w:t>工作方法与实施计划</w:t>
            </w:r>
          </w:p>
        </w:tc>
        <w:tc>
          <w:tcPr>
            <w:tcW w:w="0" w:type="auto"/>
            <w:shd w:val="clear" w:color="auto" w:fill="FFFFFF"/>
            <w:tcMar>
              <w:top w:w="150" w:type="dxa"/>
              <w:left w:w="240" w:type="dxa"/>
              <w:bottom w:w="150" w:type="dxa"/>
              <w:right w:w="240" w:type="dxa"/>
            </w:tcMar>
            <w:vAlign w:val="center"/>
          </w:tcPr>
          <w:p w14:paraId="7E1B9137">
            <w:pPr>
              <w:widowControl/>
              <w:jc w:val="left"/>
              <w:rPr>
                <w:rFonts w:ascii="Calibri" w:hAnsi="Calibri" w:eastAsia="仿宋" w:cs="Calibri"/>
                <w:color w:val="0F1115"/>
                <w:kern w:val="0"/>
                <w:szCs w:val="21"/>
              </w:rPr>
            </w:pPr>
            <w:r>
              <w:rPr>
                <w:rFonts w:ascii="仿宋" w:hAnsi="仿宋" w:eastAsia="仿宋" w:cs="Segoe UI"/>
                <w:color w:val="0F1115"/>
                <w:kern w:val="0"/>
                <w:szCs w:val="21"/>
              </w:rPr>
              <w:t>对</w:t>
            </w:r>
            <w:r>
              <w:rPr>
                <w:rFonts w:hint="eastAsia" w:ascii="仿宋" w:hAnsi="仿宋" w:eastAsia="仿宋" w:cs="Segoe UI"/>
                <w:color w:val="0F1115"/>
                <w:kern w:val="0"/>
                <w:szCs w:val="21"/>
              </w:rPr>
              <w:t>内控</w:t>
            </w:r>
            <w:r>
              <w:rPr>
                <w:rFonts w:ascii="仿宋" w:hAnsi="仿宋" w:eastAsia="仿宋" w:cs="Segoe UI"/>
                <w:color w:val="0F1115"/>
                <w:kern w:val="0"/>
                <w:szCs w:val="21"/>
              </w:rPr>
              <w:t>评价、风险评估及采购专项检查的具体方法、流程</w:t>
            </w:r>
            <w:r>
              <w:rPr>
                <w:rFonts w:hint="eastAsia" w:ascii="仿宋" w:hAnsi="仿宋" w:eastAsia="仿宋" w:cs="Segoe UI"/>
                <w:color w:val="0F1115"/>
                <w:kern w:val="0"/>
                <w:szCs w:val="21"/>
              </w:rPr>
              <w:t>设计</w:t>
            </w:r>
            <w:r>
              <w:rPr>
                <w:rFonts w:ascii="仿宋" w:hAnsi="仿宋" w:eastAsia="仿宋" w:cs="Segoe UI"/>
                <w:color w:val="0F1115"/>
                <w:kern w:val="0"/>
                <w:szCs w:val="21"/>
              </w:rPr>
              <w:t>、时间</w:t>
            </w:r>
            <w:r>
              <w:rPr>
                <w:rFonts w:hint="eastAsia" w:ascii="仿宋" w:hAnsi="仿宋" w:eastAsia="仿宋" w:cs="Segoe UI"/>
                <w:color w:val="0F1115"/>
                <w:kern w:val="0"/>
                <w:szCs w:val="21"/>
              </w:rPr>
              <w:t>节点</w:t>
            </w:r>
            <w:r>
              <w:rPr>
                <w:rFonts w:ascii="仿宋" w:hAnsi="仿宋" w:eastAsia="仿宋" w:cs="Segoe UI"/>
                <w:color w:val="0F1115"/>
                <w:kern w:val="0"/>
                <w:szCs w:val="21"/>
              </w:rPr>
              <w:t>安排</w:t>
            </w:r>
            <w:r>
              <w:rPr>
                <w:rFonts w:hint="eastAsia" w:ascii="仿宋" w:hAnsi="仿宋" w:eastAsia="仿宋" w:cs="Segoe UI"/>
                <w:color w:val="0F1115"/>
                <w:kern w:val="0"/>
                <w:szCs w:val="21"/>
              </w:rPr>
              <w:t>及</w:t>
            </w:r>
            <w:r>
              <w:rPr>
                <w:rFonts w:ascii="仿宋" w:hAnsi="仿宋" w:eastAsia="仿宋" w:cs="Segoe UI"/>
                <w:color w:val="0F1115"/>
                <w:kern w:val="0"/>
                <w:szCs w:val="21"/>
              </w:rPr>
              <w:t>“</w:t>
            </w:r>
            <w:r>
              <w:rPr>
                <w:rFonts w:hint="eastAsia" w:ascii="仿宋" w:hAnsi="仿宋" w:eastAsia="仿宋" w:cs="Segoe UI"/>
                <w:color w:val="0F1115"/>
                <w:kern w:val="0"/>
                <w:szCs w:val="21"/>
              </w:rPr>
              <w:t>边评</w:t>
            </w:r>
            <w:r>
              <w:rPr>
                <w:rFonts w:ascii="仿宋" w:hAnsi="仿宋" w:eastAsia="仿宋" w:cs="Segoe UI"/>
                <w:color w:val="0F1115"/>
                <w:kern w:val="0"/>
                <w:szCs w:val="21"/>
              </w:rPr>
              <w:t>边改”</w:t>
            </w:r>
            <w:r>
              <w:rPr>
                <w:rFonts w:hint="eastAsia" w:ascii="仿宋" w:hAnsi="仿宋" w:eastAsia="仿宋" w:cs="Segoe UI"/>
                <w:color w:val="0F1115"/>
                <w:kern w:val="0"/>
                <w:szCs w:val="21"/>
              </w:rPr>
              <w:t>机制</w:t>
            </w:r>
            <w:r>
              <w:rPr>
                <w:rFonts w:ascii="仿宋" w:hAnsi="仿宋" w:eastAsia="仿宋" w:cs="Segoe UI"/>
                <w:color w:val="0F1115"/>
                <w:kern w:val="0"/>
                <w:szCs w:val="21"/>
              </w:rPr>
              <w:t>的可行性进行评分：</w:t>
            </w:r>
            <w:r>
              <w:rPr>
                <w:rFonts w:ascii="Calibri" w:hAnsi="Calibri" w:eastAsia="仿宋" w:cs="Calibri"/>
                <w:color w:val="0F1115"/>
                <w:kern w:val="0"/>
                <w:szCs w:val="21"/>
              </w:rPr>
              <w:t> </w:t>
            </w:r>
          </w:p>
          <w:p w14:paraId="029EDC34">
            <w:pPr>
              <w:widowControl/>
              <w:jc w:val="left"/>
              <w:rPr>
                <w:rFonts w:ascii="仿宋" w:hAnsi="仿宋" w:eastAsia="仿宋" w:cs="Segoe UI"/>
                <w:color w:val="0F1115"/>
                <w:kern w:val="0"/>
                <w:szCs w:val="21"/>
              </w:rPr>
            </w:pPr>
            <w:r>
              <w:rPr>
                <w:rFonts w:ascii="仿宋" w:hAnsi="仿宋" w:eastAsia="仿宋" w:cs="Segoe UI"/>
                <w:bCs/>
                <w:color w:val="0F1115"/>
                <w:kern w:val="0"/>
                <w:szCs w:val="21"/>
              </w:rPr>
              <w:t>优（</w:t>
            </w:r>
            <w:r>
              <w:rPr>
                <w:rFonts w:ascii="仿宋" w:hAnsi="仿宋" w:eastAsia="仿宋" w:cs="Segoe UI"/>
                <w:b/>
                <w:bCs/>
                <w:color w:val="0F1115"/>
                <w:kern w:val="0"/>
                <w:szCs w:val="21"/>
              </w:rPr>
              <w:t>16-20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方法先进，</w:t>
            </w:r>
            <w:r>
              <w:rPr>
                <w:rFonts w:hint="eastAsia" w:ascii="仿宋" w:hAnsi="仿宋" w:eastAsia="仿宋" w:cs="Segoe UI"/>
                <w:color w:val="0F1115"/>
                <w:kern w:val="0"/>
                <w:szCs w:val="21"/>
              </w:rPr>
              <w:t>具体</w:t>
            </w:r>
            <w:r>
              <w:rPr>
                <w:rFonts w:ascii="仿宋" w:hAnsi="仿宋" w:eastAsia="仿宋" w:cs="Segoe UI"/>
                <w:color w:val="0F1115"/>
                <w:kern w:val="0"/>
                <w:szCs w:val="21"/>
              </w:rPr>
              <w:t>（</w:t>
            </w:r>
            <w:r>
              <w:rPr>
                <w:rFonts w:hint="eastAsia" w:ascii="仿宋" w:hAnsi="仿宋" w:eastAsia="仿宋" w:cs="Segoe UI"/>
                <w:color w:val="0F1115"/>
                <w:kern w:val="0"/>
                <w:szCs w:val="21"/>
              </w:rPr>
              <w:t>如</w:t>
            </w:r>
            <w:r>
              <w:rPr>
                <w:rFonts w:ascii="仿宋" w:hAnsi="仿宋" w:eastAsia="仿宋" w:cs="Segoe UI"/>
                <w:color w:val="0F1115"/>
                <w:kern w:val="0"/>
                <w:szCs w:val="21"/>
              </w:rPr>
              <w:t>明确访谈、穿行测试、抽样等方法的运用）</w:t>
            </w:r>
            <w:r>
              <w:rPr>
                <w:rFonts w:hint="eastAsia" w:ascii="仿宋" w:hAnsi="仿宋" w:eastAsia="仿宋" w:cs="Segoe UI"/>
                <w:color w:val="0F1115"/>
                <w:kern w:val="0"/>
                <w:szCs w:val="21"/>
              </w:rPr>
              <w:t>，</w:t>
            </w:r>
            <w:r>
              <w:rPr>
                <w:rFonts w:ascii="仿宋" w:hAnsi="仿宋" w:eastAsia="仿宋" w:cs="Segoe UI"/>
                <w:color w:val="0F1115"/>
                <w:kern w:val="0"/>
                <w:szCs w:val="21"/>
              </w:rPr>
              <w:t>实施流程</w:t>
            </w:r>
            <w:r>
              <w:rPr>
                <w:rFonts w:hint="eastAsia" w:ascii="仿宋" w:hAnsi="仿宋" w:eastAsia="仿宋" w:cs="Segoe UI"/>
                <w:color w:val="0F1115"/>
                <w:kern w:val="0"/>
                <w:szCs w:val="21"/>
              </w:rPr>
              <w:t>设计</w:t>
            </w:r>
            <w:r>
              <w:rPr>
                <w:rFonts w:ascii="仿宋" w:hAnsi="仿宋" w:eastAsia="仿宋" w:cs="Segoe UI"/>
                <w:color w:val="0F1115"/>
                <w:kern w:val="0"/>
                <w:szCs w:val="21"/>
              </w:rPr>
              <w:t>高效</w:t>
            </w:r>
            <w:r>
              <w:rPr>
                <w:rFonts w:hint="eastAsia" w:ascii="仿宋" w:hAnsi="仿宋" w:eastAsia="仿宋" w:cs="Segoe UI"/>
                <w:color w:val="0F1115"/>
                <w:kern w:val="0"/>
                <w:szCs w:val="21"/>
              </w:rPr>
              <w:t>、</w:t>
            </w:r>
            <w:r>
              <w:rPr>
                <w:rFonts w:ascii="仿宋" w:hAnsi="仿宋" w:eastAsia="仿宋" w:cs="Segoe UI"/>
                <w:color w:val="0F1115"/>
                <w:kern w:val="0"/>
                <w:szCs w:val="21"/>
              </w:rPr>
              <w:t>步骤</w:t>
            </w:r>
            <w:r>
              <w:rPr>
                <w:rFonts w:hint="eastAsia" w:ascii="仿宋" w:hAnsi="仿宋" w:eastAsia="仿宋" w:cs="Segoe UI"/>
                <w:color w:val="0F1115"/>
                <w:kern w:val="0"/>
                <w:szCs w:val="21"/>
              </w:rPr>
              <w:t>清晰</w:t>
            </w:r>
            <w:r>
              <w:rPr>
                <w:rFonts w:ascii="仿宋" w:hAnsi="仿宋" w:eastAsia="仿宋" w:cs="Segoe UI"/>
                <w:color w:val="0F1115"/>
                <w:kern w:val="0"/>
                <w:szCs w:val="21"/>
              </w:rPr>
              <w:t>，时间计划详实可行，针对“边评边改”有具体</w:t>
            </w:r>
            <w:r>
              <w:rPr>
                <w:rFonts w:hint="eastAsia" w:ascii="仿宋" w:hAnsi="仿宋" w:eastAsia="仿宋" w:cs="Segoe UI"/>
                <w:color w:val="0F1115"/>
                <w:kern w:val="0"/>
                <w:szCs w:val="21"/>
              </w:rPr>
              <w:t>、</w:t>
            </w:r>
            <w:r>
              <w:rPr>
                <w:rFonts w:ascii="仿宋" w:hAnsi="仿宋" w:eastAsia="仿宋" w:cs="Segoe UI"/>
                <w:color w:val="0F1115"/>
                <w:kern w:val="0"/>
                <w:szCs w:val="21"/>
              </w:rPr>
              <w:t>可操作的设计方案。</w:t>
            </w:r>
          </w:p>
          <w:p w14:paraId="237255B0">
            <w:pPr>
              <w:widowControl/>
              <w:jc w:val="left"/>
              <w:rPr>
                <w:rFonts w:ascii="仿宋" w:hAnsi="仿宋" w:eastAsia="仿宋" w:cs="Segoe UI"/>
                <w:color w:val="0F1115"/>
                <w:kern w:val="0"/>
                <w:szCs w:val="21"/>
              </w:rPr>
            </w:pPr>
            <w:r>
              <w:rPr>
                <w:rFonts w:ascii="Calibri" w:hAnsi="Calibri" w:eastAsia="仿宋" w:cs="Calibri"/>
                <w:color w:val="0F1115"/>
                <w:kern w:val="0"/>
                <w:szCs w:val="21"/>
              </w:rPr>
              <w:t> </w:t>
            </w:r>
            <w:r>
              <w:rPr>
                <w:rFonts w:ascii="仿宋" w:hAnsi="仿宋" w:eastAsia="仿宋" w:cs="Segoe UI"/>
                <w:bCs/>
                <w:color w:val="0F1115"/>
                <w:kern w:val="0"/>
                <w:szCs w:val="21"/>
              </w:rPr>
              <w:t>良（</w:t>
            </w:r>
            <w:r>
              <w:rPr>
                <w:rFonts w:ascii="仿宋" w:hAnsi="仿宋" w:eastAsia="仿宋" w:cs="Segoe UI"/>
                <w:b/>
                <w:bCs/>
                <w:color w:val="0F1115"/>
                <w:kern w:val="0"/>
                <w:szCs w:val="21"/>
              </w:rPr>
              <w:t>11-15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方法得当，流程和时间计划基本合理</w:t>
            </w:r>
            <w:r>
              <w:rPr>
                <w:rFonts w:hint="eastAsia" w:ascii="仿宋" w:hAnsi="仿宋" w:eastAsia="仿宋" w:cs="Segoe UI"/>
                <w:color w:val="0F1115"/>
                <w:kern w:val="0"/>
                <w:szCs w:val="21"/>
              </w:rPr>
              <w:t>，</w:t>
            </w:r>
            <w:r>
              <w:rPr>
                <w:rFonts w:ascii="仿宋" w:hAnsi="仿宋" w:eastAsia="仿宋" w:cs="Segoe UI"/>
                <w:color w:val="0F1115"/>
                <w:kern w:val="0"/>
                <w:szCs w:val="21"/>
              </w:rPr>
              <w:t>对“</w:t>
            </w:r>
            <w:r>
              <w:rPr>
                <w:rFonts w:hint="eastAsia" w:ascii="仿宋" w:hAnsi="仿宋" w:eastAsia="仿宋" w:cs="Segoe UI"/>
                <w:color w:val="0F1115"/>
                <w:kern w:val="0"/>
                <w:szCs w:val="21"/>
              </w:rPr>
              <w:t>边评边改</w:t>
            </w:r>
            <w:r>
              <w:rPr>
                <w:rFonts w:ascii="仿宋" w:hAnsi="仿宋" w:eastAsia="仿宋" w:cs="Segoe UI"/>
                <w:color w:val="0F1115"/>
                <w:kern w:val="0"/>
                <w:szCs w:val="21"/>
              </w:rPr>
              <w:t>”</w:t>
            </w:r>
            <w:r>
              <w:rPr>
                <w:rFonts w:hint="eastAsia" w:ascii="仿宋" w:hAnsi="仿宋" w:eastAsia="仿宋" w:cs="Segoe UI"/>
                <w:color w:val="0F1115"/>
                <w:kern w:val="0"/>
                <w:szCs w:val="21"/>
              </w:rPr>
              <w:t>有提及</w:t>
            </w:r>
            <w:r>
              <w:rPr>
                <w:rFonts w:ascii="仿宋" w:hAnsi="仿宋" w:eastAsia="仿宋" w:cs="Segoe UI"/>
                <w:color w:val="0F1115"/>
                <w:kern w:val="0"/>
                <w:szCs w:val="21"/>
              </w:rPr>
              <w:t>。</w:t>
            </w:r>
            <w:r>
              <w:rPr>
                <w:rFonts w:ascii="仿宋" w:hAnsi="仿宋" w:eastAsia="仿宋" w:cs="Segoe UI"/>
                <w:color w:val="0F1115"/>
                <w:kern w:val="0"/>
                <w:szCs w:val="21"/>
              </w:rPr>
              <w:br w:type="textWrapping"/>
            </w:r>
            <w:r>
              <w:rPr>
                <w:rFonts w:ascii="仿宋" w:hAnsi="仿宋" w:eastAsia="仿宋" w:cs="Segoe UI"/>
                <w:bCs/>
                <w:color w:val="0F1115"/>
                <w:kern w:val="0"/>
                <w:szCs w:val="21"/>
              </w:rPr>
              <w:t>中（</w:t>
            </w:r>
            <w:r>
              <w:rPr>
                <w:rFonts w:ascii="仿宋" w:hAnsi="仿宋" w:eastAsia="仿宋" w:cs="Segoe UI"/>
                <w:b/>
                <w:bCs/>
                <w:color w:val="0F1115"/>
                <w:kern w:val="0"/>
                <w:szCs w:val="21"/>
              </w:rPr>
              <w:t>6-10</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方法较为常规，流程或计划存在模糊之处</w:t>
            </w:r>
            <w:r>
              <w:rPr>
                <w:rFonts w:hint="eastAsia" w:ascii="仿宋" w:hAnsi="仿宋" w:eastAsia="仿宋" w:cs="Segoe UI"/>
                <w:color w:val="0F1115"/>
                <w:kern w:val="0"/>
                <w:szCs w:val="21"/>
              </w:rPr>
              <w:t>，</w:t>
            </w:r>
            <w:r>
              <w:rPr>
                <w:rFonts w:ascii="仿宋" w:hAnsi="仿宋" w:eastAsia="仿宋" w:cs="Segoe UI"/>
                <w:color w:val="0F1115"/>
                <w:kern w:val="0"/>
                <w:szCs w:val="21"/>
              </w:rPr>
              <w:t>对关键环节考虑不足。</w:t>
            </w:r>
            <w:r>
              <w:rPr>
                <w:rFonts w:ascii="仿宋" w:hAnsi="仿宋" w:eastAsia="仿宋" w:cs="Segoe UI"/>
                <w:color w:val="0F1115"/>
                <w:kern w:val="0"/>
                <w:szCs w:val="21"/>
              </w:rPr>
              <w:br w:type="textWrapping"/>
            </w:r>
            <w:r>
              <w:rPr>
                <w:rFonts w:ascii="仿宋" w:hAnsi="仿宋" w:eastAsia="仿宋" w:cs="Segoe UI"/>
                <w:bCs/>
                <w:color w:val="0F1115"/>
                <w:kern w:val="0"/>
                <w:szCs w:val="21"/>
              </w:rPr>
              <w:t>差（</w:t>
            </w:r>
            <w:r>
              <w:rPr>
                <w:rFonts w:ascii="仿宋" w:hAnsi="仿宋" w:eastAsia="仿宋" w:cs="Segoe UI"/>
                <w:b/>
                <w:bCs/>
                <w:color w:val="0F1115"/>
                <w:kern w:val="0"/>
                <w:szCs w:val="21"/>
              </w:rPr>
              <w:t>0-5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方法简单，计划混乱或不可行。</w:t>
            </w:r>
          </w:p>
        </w:tc>
        <w:tc>
          <w:tcPr>
            <w:tcW w:w="0" w:type="auto"/>
            <w:shd w:val="clear" w:color="auto" w:fill="FFFFFF"/>
            <w:tcMar>
              <w:top w:w="150" w:type="dxa"/>
              <w:left w:w="240" w:type="dxa"/>
              <w:bottom w:w="150" w:type="dxa"/>
              <w:right w:w="240" w:type="dxa"/>
            </w:tcMar>
            <w:vAlign w:val="center"/>
          </w:tcPr>
          <w:p w14:paraId="744E0D84">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20</w:t>
            </w:r>
          </w:p>
        </w:tc>
        <w:tc>
          <w:tcPr>
            <w:tcW w:w="0" w:type="auto"/>
            <w:shd w:val="clear" w:color="auto" w:fill="FFFFFF"/>
            <w:tcMar>
              <w:top w:w="150" w:type="dxa"/>
              <w:left w:w="240" w:type="dxa"/>
              <w:bottom w:w="150" w:type="dxa"/>
              <w:right w:w="0" w:type="dxa"/>
            </w:tcMar>
            <w:vAlign w:val="center"/>
          </w:tcPr>
          <w:p w14:paraId="716963DB">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760C71F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29" w:type="dxa"/>
            <w:vMerge w:val="continue"/>
            <w:shd w:val="clear" w:color="auto" w:fill="FFFFFF"/>
            <w:tcMar>
              <w:top w:w="150" w:type="dxa"/>
              <w:left w:w="0" w:type="dxa"/>
              <w:bottom w:w="150" w:type="dxa"/>
              <w:right w:w="240" w:type="dxa"/>
            </w:tcMar>
            <w:vAlign w:val="center"/>
          </w:tcPr>
          <w:p w14:paraId="7D51C21A">
            <w:pPr>
              <w:widowControl/>
              <w:jc w:val="left"/>
              <w:rPr>
                <w:rFonts w:ascii="仿宋" w:hAnsi="仿宋" w:eastAsia="仿宋" w:cs="Segoe UI"/>
                <w:color w:val="0F1115"/>
                <w:kern w:val="0"/>
                <w:szCs w:val="21"/>
              </w:rPr>
            </w:pPr>
          </w:p>
        </w:tc>
        <w:tc>
          <w:tcPr>
            <w:tcW w:w="956" w:type="dxa"/>
            <w:shd w:val="clear" w:color="auto" w:fill="FFFFFF"/>
            <w:tcMar>
              <w:top w:w="150" w:type="dxa"/>
              <w:left w:w="240" w:type="dxa"/>
              <w:bottom w:w="150" w:type="dxa"/>
              <w:right w:w="240" w:type="dxa"/>
            </w:tcMar>
            <w:vAlign w:val="center"/>
          </w:tcPr>
          <w:p w14:paraId="4490620C">
            <w:pPr>
              <w:widowControl/>
              <w:jc w:val="left"/>
              <w:rPr>
                <w:rFonts w:ascii="仿宋" w:hAnsi="仿宋" w:eastAsia="仿宋" w:cs="Segoe UI"/>
                <w:color w:val="0F1115"/>
                <w:kern w:val="0"/>
                <w:szCs w:val="21"/>
              </w:rPr>
            </w:pPr>
            <w:r>
              <w:rPr>
                <w:rFonts w:ascii="仿宋" w:hAnsi="仿宋" w:eastAsia="仿宋" w:cs="Segoe UI"/>
                <w:color w:val="0F1115"/>
                <w:kern w:val="0"/>
                <w:szCs w:val="21"/>
              </w:rPr>
              <w:t>成果交付质量承诺</w:t>
            </w:r>
          </w:p>
        </w:tc>
        <w:tc>
          <w:tcPr>
            <w:tcW w:w="0" w:type="auto"/>
            <w:shd w:val="clear" w:color="auto" w:fill="FFFFFF"/>
            <w:tcMar>
              <w:top w:w="150" w:type="dxa"/>
              <w:left w:w="240" w:type="dxa"/>
              <w:bottom w:w="150" w:type="dxa"/>
              <w:right w:w="240" w:type="dxa"/>
            </w:tcMar>
            <w:vAlign w:val="center"/>
          </w:tcPr>
          <w:p w14:paraId="720E30E9">
            <w:pPr>
              <w:widowControl/>
              <w:jc w:val="left"/>
              <w:rPr>
                <w:rFonts w:ascii="仿宋" w:hAnsi="仿宋" w:eastAsia="仿宋" w:cs="Segoe UI"/>
                <w:color w:val="0F1115"/>
                <w:kern w:val="0"/>
                <w:szCs w:val="21"/>
              </w:rPr>
            </w:pPr>
            <w:r>
              <w:rPr>
                <w:rFonts w:ascii="仿宋" w:hAnsi="仿宋" w:eastAsia="仿宋" w:cs="Segoe UI"/>
                <w:color w:val="0F1115"/>
                <w:kern w:val="0"/>
                <w:szCs w:val="21"/>
              </w:rPr>
              <w:t>对最终</w:t>
            </w:r>
            <w:r>
              <w:rPr>
                <w:rFonts w:hint="eastAsia" w:ascii="仿宋" w:hAnsi="仿宋" w:eastAsia="仿宋" w:cs="Segoe UI"/>
                <w:color w:val="0F1115"/>
                <w:kern w:val="0"/>
                <w:szCs w:val="21"/>
              </w:rPr>
              <w:t>交付</w:t>
            </w:r>
            <w:r>
              <w:rPr>
                <w:rFonts w:ascii="仿宋" w:hAnsi="仿宋" w:eastAsia="仿宋" w:cs="Segoe UI"/>
                <w:color w:val="0F1115"/>
                <w:kern w:val="0"/>
                <w:szCs w:val="21"/>
              </w:rPr>
              <w:t>成果的质量标准、</w:t>
            </w:r>
            <w:r>
              <w:rPr>
                <w:rFonts w:hint="eastAsia" w:ascii="仿宋" w:hAnsi="仿宋" w:eastAsia="仿宋" w:cs="Segoe UI"/>
                <w:color w:val="0F1115"/>
                <w:kern w:val="0"/>
                <w:szCs w:val="21"/>
              </w:rPr>
              <w:t>内容</w:t>
            </w:r>
            <w:r>
              <w:rPr>
                <w:rFonts w:ascii="仿宋" w:hAnsi="仿宋" w:eastAsia="仿宋" w:cs="Segoe UI"/>
                <w:color w:val="0F1115"/>
                <w:kern w:val="0"/>
                <w:szCs w:val="21"/>
              </w:rPr>
              <w:t>深度及后续服务承诺进行评分：</w:t>
            </w:r>
          </w:p>
          <w:p w14:paraId="25775095">
            <w:pPr>
              <w:widowControl/>
              <w:jc w:val="left"/>
              <w:rPr>
                <w:rFonts w:ascii="仿宋" w:hAnsi="仿宋" w:eastAsia="仿宋" w:cs="Segoe UI"/>
                <w:color w:val="0F1115"/>
                <w:kern w:val="0"/>
                <w:szCs w:val="21"/>
              </w:rPr>
            </w:pPr>
            <w:r>
              <w:rPr>
                <w:rFonts w:ascii="Calibri" w:hAnsi="Calibri" w:eastAsia="仿宋" w:cs="Calibri"/>
                <w:color w:val="0F1115"/>
                <w:kern w:val="0"/>
                <w:szCs w:val="21"/>
              </w:rPr>
              <w:t> </w:t>
            </w:r>
            <w:r>
              <w:rPr>
                <w:rFonts w:ascii="仿宋" w:hAnsi="仿宋" w:eastAsia="仿宋" w:cs="Segoe UI"/>
                <w:bCs/>
                <w:color w:val="0F1115"/>
                <w:kern w:val="0"/>
                <w:szCs w:val="21"/>
              </w:rPr>
              <w:t>优（</w:t>
            </w:r>
            <w:r>
              <w:rPr>
                <w:rFonts w:ascii="仿宋" w:hAnsi="仿宋" w:eastAsia="仿宋" w:cs="Segoe UI"/>
                <w:b/>
                <w:bCs/>
                <w:color w:val="0F1115"/>
                <w:kern w:val="0"/>
                <w:szCs w:val="21"/>
              </w:rPr>
              <w:t>12-15</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承诺的报告框架完整，内容深入，能提出具体、</w:t>
            </w:r>
            <w:r>
              <w:rPr>
                <w:rFonts w:hint="eastAsia" w:ascii="仿宋" w:hAnsi="仿宋" w:eastAsia="仿宋" w:cs="Segoe UI"/>
                <w:color w:val="0F1115"/>
                <w:kern w:val="0"/>
                <w:szCs w:val="21"/>
              </w:rPr>
              <w:t>可量化</w:t>
            </w:r>
            <w:r>
              <w:rPr>
                <w:rFonts w:ascii="仿宋" w:hAnsi="仿宋" w:eastAsia="仿宋" w:cs="Segoe UI"/>
                <w:color w:val="0F1115"/>
                <w:kern w:val="0"/>
                <w:szCs w:val="21"/>
              </w:rPr>
              <w:t>、可操作的改进建议</w:t>
            </w:r>
            <w:r>
              <w:rPr>
                <w:rFonts w:hint="eastAsia" w:ascii="仿宋" w:hAnsi="仿宋" w:eastAsia="仿宋" w:cs="Segoe UI"/>
                <w:color w:val="0F1115"/>
                <w:kern w:val="0"/>
                <w:szCs w:val="21"/>
              </w:rPr>
              <w:t>与</w:t>
            </w:r>
            <w:r>
              <w:rPr>
                <w:rFonts w:ascii="仿宋" w:hAnsi="仿宋" w:eastAsia="仿宋" w:cs="Segoe UI"/>
                <w:color w:val="0F1115"/>
                <w:kern w:val="0"/>
                <w:szCs w:val="21"/>
              </w:rPr>
              <w:t>管理提升方案</w:t>
            </w:r>
            <w:r>
              <w:rPr>
                <w:rFonts w:hint="eastAsia" w:ascii="仿宋" w:hAnsi="仿宋" w:eastAsia="仿宋" w:cs="Segoe UI"/>
                <w:color w:val="0F1115"/>
                <w:kern w:val="0"/>
                <w:szCs w:val="21"/>
              </w:rPr>
              <w:t>。</w:t>
            </w:r>
            <w:r>
              <w:rPr>
                <w:rFonts w:ascii="仿宋" w:hAnsi="仿宋" w:eastAsia="仿宋" w:cs="Segoe UI"/>
                <w:color w:val="0F1115"/>
                <w:kern w:val="0"/>
                <w:szCs w:val="21"/>
              </w:rPr>
              <w:t>并提供报告解读</w:t>
            </w:r>
            <w:r>
              <w:rPr>
                <w:rFonts w:hint="eastAsia" w:ascii="仿宋" w:hAnsi="仿宋" w:eastAsia="仿宋" w:cs="Segoe UI"/>
                <w:color w:val="0F1115"/>
                <w:kern w:val="0"/>
                <w:szCs w:val="21"/>
              </w:rPr>
              <w:t>、</w:t>
            </w:r>
            <w:r>
              <w:rPr>
                <w:rFonts w:ascii="仿宋" w:hAnsi="仿宋" w:eastAsia="仿宋" w:cs="Segoe UI"/>
                <w:color w:val="0F1115"/>
                <w:kern w:val="0"/>
                <w:szCs w:val="21"/>
              </w:rPr>
              <w:t>专题培训或中期汇报等附加服务</w:t>
            </w:r>
            <w:r>
              <w:rPr>
                <w:rFonts w:hint="eastAsia" w:ascii="仿宋" w:hAnsi="仿宋" w:eastAsia="仿宋" w:cs="Segoe UI"/>
                <w:color w:val="0F1115"/>
                <w:kern w:val="0"/>
                <w:szCs w:val="21"/>
              </w:rPr>
              <w:t>，</w:t>
            </w:r>
            <w:r>
              <w:rPr>
                <w:rFonts w:ascii="仿宋" w:hAnsi="仿宋" w:eastAsia="仿宋" w:cs="Segoe UI"/>
                <w:color w:val="0F1115"/>
                <w:kern w:val="0"/>
                <w:szCs w:val="21"/>
              </w:rPr>
              <w:t>承诺</w:t>
            </w:r>
            <w:r>
              <w:rPr>
                <w:rFonts w:hint="eastAsia" w:ascii="仿宋" w:hAnsi="仿宋" w:eastAsia="仿宋" w:cs="Segoe UI"/>
                <w:color w:val="0F1115"/>
                <w:kern w:val="0"/>
                <w:szCs w:val="21"/>
              </w:rPr>
              <w:t>内容</w:t>
            </w:r>
            <w:r>
              <w:rPr>
                <w:rFonts w:ascii="仿宋" w:hAnsi="仿宋" w:eastAsia="仿宋" w:cs="Segoe UI"/>
                <w:color w:val="0F1115"/>
                <w:kern w:val="0"/>
                <w:szCs w:val="21"/>
              </w:rPr>
              <w:t>具体可行。</w:t>
            </w:r>
            <w:r>
              <w:rPr>
                <w:rFonts w:ascii="仿宋" w:hAnsi="仿宋" w:eastAsia="仿宋" w:cs="Segoe UI"/>
                <w:color w:val="0F1115"/>
                <w:kern w:val="0"/>
                <w:szCs w:val="21"/>
              </w:rPr>
              <w:br w:type="textWrapping"/>
            </w:r>
            <w:r>
              <w:rPr>
                <w:rFonts w:ascii="仿宋" w:hAnsi="仿宋" w:eastAsia="仿宋" w:cs="Segoe UI"/>
                <w:bCs/>
                <w:color w:val="0F1115"/>
                <w:kern w:val="0"/>
                <w:szCs w:val="21"/>
              </w:rPr>
              <w:t>良（</w:t>
            </w:r>
            <w:r>
              <w:rPr>
                <w:rFonts w:ascii="仿宋" w:hAnsi="仿宋" w:eastAsia="仿宋" w:cs="Segoe UI"/>
                <w:b/>
                <w:bCs/>
                <w:color w:val="0F1115"/>
                <w:kern w:val="0"/>
                <w:szCs w:val="21"/>
              </w:rPr>
              <w:t>8-11</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承诺</w:t>
            </w:r>
            <w:r>
              <w:rPr>
                <w:rFonts w:hint="eastAsia" w:ascii="仿宋" w:hAnsi="仿宋" w:eastAsia="仿宋" w:cs="Segoe UI"/>
                <w:color w:val="0F1115"/>
                <w:kern w:val="0"/>
                <w:szCs w:val="21"/>
              </w:rPr>
              <w:t>的</w:t>
            </w:r>
            <w:r>
              <w:rPr>
                <w:rFonts w:ascii="仿宋" w:hAnsi="仿宋" w:eastAsia="仿宋" w:cs="Segoe UI"/>
                <w:color w:val="0F1115"/>
                <w:kern w:val="0"/>
                <w:szCs w:val="21"/>
              </w:rPr>
              <w:t>报告满足基本</w:t>
            </w:r>
            <w:r>
              <w:rPr>
                <w:rFonts w:hint="eastAsia" w:ascii="仿宋" w:hAnsi="仿宋" w:eastAsia="仿宋" w:cs="Segoe UI"/>
                <w:color w:val="0F1115"/>
                <w:kern w:val="0"/>
                <w:szCs w:val="21"/>
              </w:rPr>
              <w:t>格式</w:t>
            </w:r>
            <w:r>
              <w:rPr>
                <w:rFonts w:ascii="仿宋" w:hAnsi="仿宋" w:eastAsia="仿宋" w:cs="Segoe UI"/>
                <w:color w:val="0F1115"/>
                <w:kern w:val="0"/>
                <w:szCs w:val="21"/>
              </w:rPr>
              <w:t>和内容要求，</w:t>
            </w:r>
            <w:r>
              <w:rPr>
                <w:rFonts w:hint="eastAsia" w:ascii="仿宋" w:hAnsi="仿宋" w:eastAsia="仿宋" w:cs="Segoe UI"/>
                <w:color w:val="0F1115"/>
                <w:kern w:val="0"/>
                <w:szCs w:val="21"/>
              </w:rPr>
              <w:t>能</w:t>
            </w:r>
            <w:r>
              <w:rPr>
                <w:rFonts w:ascii="仿宋" w:hAnsi="仿宋" w:eastAsia="仿宋" w:cs="Segoe UI"/>
                <w:color w:val="0F1115"/>
                <w:kern w:val="0"/>
                <w:szCs w:val="21"/>
              </w:rPr>
              <w:t>提出初步改进方向</w:t>
            </w:r>
            <w:r>
              <w:rPr>
                <w:rFonts w:hint="eastAsia" w:ascii="仿宋" w:hAnsi="仿宋" w:eastAsia="仿宋" w:cs="Segoe UI"/>
                <w:color w:val="0F1115"/>
                <w:kern w:val="0"/>
                <w:szCs w:val="21"/>
              </w:rPr>
              <w:t>，</w:t>
            </w:r>
            <w:r>
              <w:rPr>
                <w:rFonts w:ascii="仿宋" w:hAnsi="仿宋" w:eastAsia="仿宋" w:cs="Segoe UI"/>
                <w:color w:val="0F1115"/>
                <w:kern w:val="0"/>
                <w:szCs w:val="21"/>
              </w:rPr>
              <w:t>服务承诺</w:t>
            </w:r>
            <w:r>
              <w:rPr>
                <w:rFonts w:hint="eastAsia" w:ascii="仿宋" w:hAnsi="仿宋" w:eastAsia="仿宋" w:cs="Segoe UI"/>
                <w:color w:val="0F1115"/>
                <w:kern w:val="0"/>
                <w:szCs w:val="21"/>
              </w:rPr>
              <w:t>符合</w:t>
            </w:r>
            <w:r>
              <w:rPr>
                <w:rFonts w:ascii="仿宋" w:hAnsi="仿宋" w:eastAsia="仿宋" w:cs="Segoe UI"/>
                <w:color w:val="0F1115"/>
                <w:kern w:val="0"/>
                <w:szCs w:val="21"/>
              </w:rPr>
              <w:t>项目要求。</w:t>
            </w:r>
            <w:r>
              <w:rPr>
                <w:rFonts w:ascii="仿宋" w:hAnsi="仿宋" w:eastAsia="仿宋" w:cs="Segoe UI"/>
                <w:color w:val="0F1115"/>
                <w:kern w:val="0"/>
                <w:szCs w:val="21"/>
              </w:rPr>
              <w:br w:type="textWrapping"/>
            </w:r>
            <w:r>
              <w:rPr>
                <w:rFonts w:ascii="仿宋" w:hAnsi="仿宋" w:eastAsia="仿宋" w:cs="Segoe UI"/>
                <w:bCs/>
                <w:color w:val="0F1115"/>
                <w:kern w:val="0"/>
                <w:szCs w:val="21"/>
              </w:rPr>
              <w:t>差（</w:t>
            </w:r>
            <w:r>
              <w:rPr>
                <w:rFonts w:ascii="仿宋" w:hAnsi="仿宋" w:eastAsia="仿宋" w:cs="Segoe UI"/>
                <w:b/>
                <w:bCs/>
                <w:color w:val="0F1115"/>
                <w:kern w:val="0"/>
                <w:szCs w:val="21"/>
              </w:rPr>
              <w:t>0-7</w:t>
            </w:r>
            <w:r>
              <w:rPr>
                <w:rFonts w:ascii="仿宋" w:hAnsi="仿宋" w:eastAsia="仿宋" w:cs="Segoe UI"/>
                <w:bCs/>
                <w:color w:val="0F1115"/>
                <w:kern w:val="0"/>
                <w:szCs w:val="21"/>
              </w:rPr>
              <w:t>分）：</w:t>
            </w:r>
            <w:r>
              <w:rPr>
                <w:rFonts w:ascii="Calibri" w:hAnsi="Calibri" w:eastAsia="仿宋" w:cs="Calibri"/>
                <w:color w:val="0F1115"/>
                <w:kern w:val="0"/>
                <w:szCs w:val="21"/>
              </w:rPr>
              <w:t> </w:t>
            </w:r>
            <w:r>
              <w:rPr>
                <w:rFonts w:ascii="仿宋" w:hAnsi="仿宋" w:eastAsia="仿宋" w:cs="Segoe UI"/>
                <w:color w:val="0F1115"/>
                <w:kern w:val="0"/>
                <w:szCs w:val="21"/>
              </w:rPr>
              <w:t>承诺空泛，</w:t>
            </w:r>
            <w:r>
              <w:rPr>
                <w:rFonts w:hint="eastAsia" w:ascii="仿宋" w:hAnsi="仿宋" w:eastAsia="仿宋" w:cs="Segoe UI"/>
                <w:color w:val="0F1115"/>
                <w:kern w:val="0"/>
                <w:szCs w:val="21"/>
              </w:rPr>
              <w:t>仅</w:t>
            </w:r>
            <w:r>
              <w:rPr>
                <w:rFonts w:ascii="仿宋" w:hAnsi="仿宋" w:eastAsia="仿宋" w:cs="Segoe UI"/>
                <w:color w:val="0F1115"/>
                <w:kern w:val="0"/>
                <w:szCs w:val="21"/>
              </w:rPr>
              <w:t>简单</w:t>
            </w:r>
            <w:r>
              <w:rPr>
                <w:rFonts w:hint="eastAsia" w:ascii="仿宋" w:hAnsi="仿宋" w:eastAsia="仿宋" w:cs="Segoe UI"/>
                <w:color w:val="0F1115"/>
                <w:kern w:val="0"/>
                <w:szCs w:val="21"/>
              </w:rPr>
              <w:t>响应</w:t>
            </w:r>
            <w:r>
              <w:rPr>
                <w:rFonts w:ascii="仿宋" w:hAnsi="仿宋" w:eastAsia="仿宋" w:cs="Segoe UI"/>
                <w:color w:val="0F1115"/>
                <w:kern w:val="0"/>
                <w:szCs w:val="21"/>
              </w:rPr>
              <w:t>招标要求，无实质内容</w:t>
            </w:r>
            <w:r>
              <w:rPr>
                <w:rFonts w:hint="eastAsia" w:ascii="仿宋" w:hAnsi="仿宋" w:eastAsia="仿宋" w:cs="Segoe UI"/>
                <w:color w:val="0F1115"/>
                <w:kern w:val="0"/>
                <w:szCs w:val="21"/>
              </w:rPr>
              <w:t>或</w:t>
            </w:r>
            <w:r>
              <w:rPr>
                <w:rFonts w:ascii="仿宋" w:hAnsi="仿宋" w:eastAsia="仿宋" w:cs="Segoe UI"/>
                <w:color w:val="0F1115"/>
                <w:kern w:val="0"/>
                <w:szCs w:val="21"/>
              </w:rPr>
              <w:t>特色服务承诺。</w:t>
            </w:r>
          </w:p>
        </w:tc>
        <w:tc>
          <w:tcPr>
            <w:tcW w:w="0" w:type="auto"/>
            <w:shd w:val="clear" w:color="auto" w:fill="FFFFFF"/>
            <w:tcMar>
              <w:top w:w="150" w:type="dxa"/>
              <w:left w:w="240" w:type="dxa"/>
              <w:bottom w:w="150" w:type="dxa"/>
              <w:right w:w="240" w:type="dxa"/>
            </w:tcMar>
            <w:vAlign w:val="center"/>
          </w:tcPr>
          <w:p w14:paraId="6D5B3A5E">
            <w:pPr>
              <w:widowControl/>
              <w:jc w:val="left"/>
              <w:rPr>
                <w:rFonts w:ascii="仿宋" w:hAnsi="仿宋" w:eastAsia="仿宋" w:cs="Segoe UI"/>
                <w:color w:val="0F1115"/>
                <w:kern w:val="0"/>
                <w:szCs w:val="21"/>
              </w:rPr>
            </w:pPr>
            <w:r>
              <w:rPr>
                <w:rFonts w:ascii="仿宋" w:hAnsi="仿宋" w:eastAsia="仿宋" w:cs="Segoe UI"/>
                <w:b/>
                <w:bCs/>
                <w:color w:val="0F1115"/>
                <w:kern w:val="0"/>
                <w:szCs w:val="21"/>
              </w:rPr>
              <w:t>15</w:t>
            </w:r>
          </w:p>
        </w:tc>
        <w:tc>
          <w:tcPr>
            <w:tcW w:w="0" w:type="auto"/>
            <w:shd w:val="clear" w:color="auto" w:fill="FFFFFF"/>
            <w:tcMar>
              <w:top w:w="150" w:type="dxa"/>
              <w:left w:w="240" w:type="dxa"/>
              <w:bottom w:w="150" w:type="dxa"/>
              <w:right w:w="0" w:type="dxa"/>
            </w:tcMar>
            <w:vAlign w:val="center"/>
          </w:tcPr>
          <w:p w14:paraId="5FDB2AF9">
            <w:pPr>
              <w:widowControl/>
              <w:jc w:val="left"/>
              <w:rPr>
                <w:rFonts w:ascii="仿宋" w:hAnsi="仿宋" w:eastAsia="仿宋" w:cs="Segoe UI"/>
                <w:color w:val="0F1115"/>
                <w:kern w:val="0"/>
                <w:szCs w:val="21"/>
              </w:rPr>
            </w:pPr>
            <w:r>
              <w:rPr>
                <w:rFonts w:ascii="仿宋" w:hAnsi="仿宋" w:eastAsia="仿宋" w:cs="Segoe UI"/>
                <w:color w:val="0F1115"/>
                <w:kern w:val="0"/>
                <w:szCs w:val="21"/>
              </w:rPr>
              <w:t>主观</w:t>
            </w:r>
          </w:p>
        </w:tc>
      </w:tr>
      <w:tr w14:paraId="5741F0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1129" w:type="dxa"/>
            <w:shd w:val="clear" w:color="auto" w:fill="FFFFFF"/>
            <w:tcMar>
              <w:top w:w="150" w:type="dxa"/>
              <w:left w:w="0" w:type="dxa"/>
              <w:bottom w:w="150" w:type="dxa"/>
              <w:right w:w="240" w:type="dxa"/>
            </w:tcMar>
            <w:vAlign w:val="center"/>
          </w:tcPr>
          <w:p w14:paraId="09D45F9D">
            <w:pPr>
              <w:widowControl/>
              <w:jc w:val="left"/>
              <w:rPr>
                <w:rFonts w:ascii="仿宋" w:hAnsi="仿宋" w:eastAsia="仿宋" w:cs="Segoe UI"/>
                <w:color w:val="0F1115"/>
                <w:kern w:val="0"/>
                <w:szCs w:val="21"/>
              </w:rPr>
            </w:pPr>
            <w:r>
              <w:rPr>
                <w:rFonts w:ascii="仿宋" w:hAnsi="仿宋" w:eastAsia="仿宋" w:cs="Segoe UI"/>
                <w:bCs/>
                <w:color w:val="0F1115"/>
                <w:kern w:val="0"/>
                <w:szCs w:val="21"/>
              </w:rPr>
              <w:t>总 分</w:t>
            </w:r>
          </w:p>
        </w:tc>
        <w:tc>
          <w:tcPr>
            <w:tcW w:w="956" w:type="dxa"/>
            <w:shd w:val="clear" w:color="auto" w:fill="FFFFFF"/>
            <w:tcMar>
              <w:top w:w="150" w:type="dxa"/>
              <w:left w:w="240" w:type="dxa"/>
              <w:bottom w:w="150" w:type="dxa"/>
              <w:right w:w="240" w:type="dxa"/>
            </w:tcMar>
            <w:vAlign w:val="center"/>
          </w:tcPr>
          <w:p w14:paraId="3364B92B">
            <w:pPr>
              <w:widowControl/>
              <w:jc w:val="left"/>
              <w:rPr>
                <w:rFonts w:ascii="仿宋" w:hAnsi="仿宋" w:eastAsia="仿宋" w:cs="Segoe UI"/>
                <w:color w:val="0F1115"/>
                <w:kern w:val="0"/>
                <w:szCs w:val="21"/>
              </w:rPr>
            </w:pPr>
          </w:p>
        </w:tc>
        <w:tc>
          <w:tcPr>
            <w:tcW w:w="0" w:type="auto"/>
            <w:shd w:val="clear" w:color="auto" w:fill="FFFFFF"/>
            <w:tcMar>
              <w:top w:w="150" w:type="dxa"/>
              <w:left w:w="240" w:type="dxa"/>
              <w:bottom w:w="150" w:type="dxa"/>
              <w:right w:w="240" w:type="dxa"/>
            </w:tcMar>
            <w:vAlign w:val="center"/>
          </w:tcPr>
          <w:p w14:paraId="3A2063C3">
            <w:pPr>
              <w:widowControl/>
              <w:jc w:val="left"/>
              <w:rPr>
                <w:rFonts w:ascii="仿宋" w:hAnsi="仿宋" w:eastAsia="仿宋" w:cs="Times New Roman"/>
                <w:kern w:val="0"/>
                <w:szCs w:val="21"/>
              </w:rPr>
            </w:pPr>
          </w:p>
        </w:tc>
        <w:tc>
          <w:tcPr>
            <w:tcW w:w="0" w:type="auto"/>
            <w:shd w:val="clear" w:color="auto" w:fill="FFFFFF"/>
            <w:tcMar>
              <w:top w:w="150" w:type="dxa"/>
              <w:left w:w="240" w:type="dxa"/>
              <w:bottom w:w="150" w:type="dxa"/>
              <w:right w:w="240" w:type="dxa"/>
            </w:tcMar>
            <w:vAlign w:val="center"/>
          </w:tcPr>
          <w:p w14:paraId="07A01213">
            <w:pPr>
              <w:widowControl/>
              <w:jc w:val="left"/>
              <w:rPr>
                <w:rFonts w:ascii="仿宋" w:hAnsi="仿宋" w:eastAsia="仿宋" w:cs="Segoe UI"/>
                <w:color w:val="0F1115"/>
                <w:kern w:val="0"/>
                <w:szCs w:val="21"/>
              </w:rPr>
            </w:pPr>
            <w:r>
              <w:rPr>
                <w:rFonts w:ascii="仿宋" w:hAnsi="仿宋" w:eastAsia="仿宋" w:cs="Segoe UI"/>
                <w:bCs/>
                <w:color w:val="0F1115"/>
                <w:kern w:val="0"/>
                <w:szCs w:val="21"/>
              </w:rPr>
              <w:t>100</w:t>
            </w:r>
          </w:p>
        </w:tc>
        <w:tc>
          <w:tcPr>
            <w:tcW w:w="0" w:type="auto"/>
            <w:shd w:val="clear" w:color="auto" w:fill="FFFFFF"/>
            <w:vAlign w:val="center"/>
          </w:tcPr>
          <w:p w14:paraId="22E21B66">
            <w:pPr>
              <w:widowControl/>
              <w:jc w:val="left"/>
              <w:rPr>
                <w:rFonts w:ascii="仿宋" w:hAnsi="仿宋" w:eastAsia="仿宋" w:cs="Times New Roman"/>
                <w:kern w:val="0"/>
                <w:szCs w:val="21"/>
              </w:rPr>
            </w:pPr>
          </w:p>
        </w:tc>
      </w:tr>
    </w:tbl>
    <w:p w14:paraId="17AA72B6">
      <w:pPr>
        <w:shd w:val="clear" w:color="auto" w:fill="FFFFFF"/>
        <w:spacing w:line="520" w:lineRule="exact"/>
        <w:contextualSpacing/>
        <w:jc w:val="left"/>
        <w:rPr>
          <w:rFonts w:ascii="仿宋" w:hAnsi="仿宋" w:eastAsia="仿宋"/>
          <w:b/>
          <w:sz w:val="28"/>
          <w:szCs w:val="28"/>
          <w:u w:val="single"/>
        </w:rPr>
      </w:pPr>
      <w:r>
        <w:rPr>
          <w:rFonts w:ascii="仿宋" w:hAnsi="仿宋" w:eastAsia="仿宋" w:cs="Segoe UI"/>
          <w:color w:val="0F1115"/>
          <w:sz w:val="28"/>
          <w:szCs w:val="28"/>
          <w:shd w:val="clear" w:color="auto" w:fill="FFFFFF"/>
        </w:rPr>
        <w:t>评审员</w:t>
      </w:r>
      <w:r>
        <w:rPr>
          <w:rFonts w:ascii="仿宋" w:hAnsi="仿宋" w:eastAsia="仿宋" w:cs="Segoe UI"/>
          <w:color w:val="0F1115"/>
          <w:sz w:val="28"/>
          <w:szCs w:val="28"/>
        </w:rPr>
        <w:t>（签字）</w:t>
      </w:r>
      <w:r>
        <w:rPr>
          <w:rFonts w:ascii="仿宋" w:hAnsi="仿宋" w:eastAsia="仿宋"/>
          <w:sz w:val="28"/>
          <w:szCs w:val="28"/>
        </w:rPr>
        <w:t>：</w:t>
      </w:r>
      <w:r>
        <w:rPr>
          <w:rFonts w:ascii="仿宋" w:hAnsi="仿宋" w:eastAsia="仿宋"/>
          <w:b/>
          <w:sz w:val="28"/>
          <w:szCs w:val="28"/>
          <w:u w:val="single"/>
        </w:rPr>
        <w:t xml:space="preserve">_____             _____             </w:t>
      </w:r>
    </w:p>
    <w:bookmarkEnd w:id="0"/>
    <w:bookmarkEnd w:id="1"/>
    <w:p w14:paraId="00FF7116">
      <w:pPr>
        <w:rPr>
          <w:rFonts w:ascii="仿宋" w:hAnsi="仿宋" w:eastAsia="仿宋" w:cs="Segoe UI"/>
          <w:bCs/>
          <w:color w:val="0F1115"/>
          <w:sz w:val="28"/>
          <w:szCs w:val="28"/>
          <w:shd w:val="clear" w:color="auto" w:fill="FFFFFF"/>
        </w:rPr>
      </w:pPr>
      <w:r>
        <w:rPr>
          <w:rFonts w:ascii="仿宋" w:hAnsi="仿宋" w:eastAsia="仿宋" w:cs="Segoe UI"/>
          <w:bCs/>
          <w:color w:val="0F1115"/>
          <w:sz w:val="28"/>
          <w:szCs w:val="28"/>
          <w:shd w:val="clear" w:color="auto" w:fill="FFFFFF"/>
        </w:rPr>
        <w:t>评审日期：____年__月__日</w:t>
      </w:r>
    </w:p>
    <w:p w14:paraId="0CD91F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1C0E08"/>
    <w:rsid w:val="341C0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2026-01-14T06:06:00Z</dcterms:created>
  <dc:creator>Lyn</dc:creator>
  <cp:lastModifiedBy>Lyn</cp:lastModifiedBy>
  <dcterms:modified xsi:type="dcterms:W3CDTF">2026-01-14T06:07:43Z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6892C550CCBF47B9B1B771C97F2A0DC9_11</vt:lpwstr>
  </property>
  <property fmtid="{D5CDD505-2E9C-101B-9397-08002B2CF9AE}" pid="4" name="KSOTemplateDocerSaveRecord">
    <vt:lpwstr>eyJoZGlkIjoiMzI1NTc2YjM3YjBhNGRlYTk3YmY1YzQ4ZGRhMmI5ZWUiLCJ1c2VySWQiOiI0MzA1OTk4ODEifQ==</vt:lpwstr>
  </property>
</Properties>
</file>