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364D8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bCs/>
          <w:sz w:val="32"/>
          <w:szCs w:val="32"/>
        </w:rPr>
      </w:pPr>
      <w:r>
        <w:rPr>
          <w:rFonts w:ascii="仿宋" w:hAnsi="仿宋" w:eastAsia="仿宋" w:cs="Segoe UI"/>
          <w:b/>
          <w:bCs/>
          <w:sz w:val="32"/>
          <w:szCs w:val="32"/>
        </w:rPr>
        <w:t>附件五：综合评审表（评分表）</w:t>
      </w:r>
    </w:p>
    <w:p w14:paraId="193B9A32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Calibri"/>
          <w:sz w:val="28"/>
          <w:szCs w:val="28"/>
        </w:rPr>
      </w:pPr>
      <w:r>
        <w:rPr>
          <w:rFonts w:ascii="仿宋" w:hAnsi="仿宋" w:eastAsia="仿宋" w:cs="Segoe UI"/>
          <w:bCs/>
          <w:sz w:val="28"/>
          <w:szCs w:val="28"/>
        </w:rPr>
        <w:t>项目名称：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视频会议企业维护费项目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1"/>
        <w:gridCol w:w="2151"/>
        <w:gridCol w:w="8723"/>
        <w:gridCol w:w="831"/>
        <w:gridCol w:w="762"/>
      </w:tblGrid>
      <w:tr w14:paraId="0AD6D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1320906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评分部分</w:t>
            </w:r>
          </w:p>
        </w:tc>
        <w:tc>
          <w:tcPr>
            <w:tcW w:w="21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235AD8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评审因素</w:t>
            </w:r>
          </w:p>
        </w:tc>
        <w:tc>
          <w:tcPr>
            <w:tcW w:w="872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312564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评分标准（须提供相应证明文件）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F28A39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分值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BED5FC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bCs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1"/>
                <w:szCs w:val="21"/>
              </w:rPr>
              <w:t>属性</w:t>
            </w:r>
          </w:p>
        </w:tc>
      </w:tr>
      <w:tr w14:paraId="7DE66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D8F29D1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价格部分 (</w:t>
            </w: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15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分)</w:t>
            </w:r>
          </w:p>
        </w:tc>
        <w:tc>
          <w:tcPr>
            <w:tcW w:w="21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72937F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最终报价</w:t>
            </w:r>
          </w:p>
        </w:tc>
        <w:tc>
          <w:tcPr>
            <w:tcW w:w="872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81608B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低价优先法：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以满足比选文件要求且最终报价最低的为评标基准价，得满分</w:t>
            </w: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15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分。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其他供应商价格得分 = (评标基准价 / 该供应商最终报价) ×</w:t>
            </w: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15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。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注： 报价超过100,000元最高限价为无效报价。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5499D2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2C0BEE5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1"/>
                <w:szCs w:val="21"/>
              </w:rPr>
              <w:t>客观分</w:t>
            </w:r>
          </w:p>
        </w:tc>
      </w:tr>
      <w:tr w14:paraId="4D431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B1E3217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商务部分 (</w:t>
            </w: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25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分)</w:t>
            </w:r>
          </w:p>
        </w:tc>
        <w:tc>
          <w:tcPr>
            <w:tcW w:w="21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78FE1B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1. 企业综合实力</w:t>
            </w:r>
          </w:p>
        </w:tc>
        <w:tc>
          <w:tcPr>
            <w:tcW w:w="872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AC8E54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提供视频会议厂家有效授权函或代理证书，得</w:t>
            </w: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15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分；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F856FF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AD35E68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1"/>
                <w:szCs w:val="21"/>
              </w:rPr>
              <w:t>客观分</w:t>
            </w:r>
          </w:p>
        </w:tc>
      </w:tr>
      <w:tr w14:paraId="21D69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7" w:hRule="atLeast"/>
        </w:trPr>
        <w:tc>
          <w:tcPr>
            <w:tcW w:w="0" w:type="auto"/>
            <w:vMerge w:val="continue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A04FC00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</w:p>
        </w:tc>
        <w:tc>
          <w:tcPr>
            <w:tcW w:w="21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068E49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2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. 同类项目业绩</w:t>
            </w:r>
          </w:p>
        </w:tc>
        <w:tc>
          <w:tcPr>
            <w:tcW w:w="872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375F37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提供2023年1月1日至今签署的</w:t>
            </w: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企业视频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会议服务项目合同（含关键页及验收证明）。每提供1个符合要求的合同得</w:t>
            </w: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10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分，最高得</w:t>
            </w: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10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分。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590E24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8ED2BBA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1"/>
                <w:szCs w:val="21"/>
              </w:rPr>
              <w:t>客观分</w:t>
            </w:r>
          </w:p>
        </w:tc>
      </w:tr>
      <w:tr w14:paraId="646B4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ADC0C27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技术部分 (</w:t>
            </w: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60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分)</w:t>
            </w:r>
          </w:p>
        </w:tc>
        <w:tc>
          <w:tcPr>
            <w:tcW w:w="21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570AC4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1. 服务实施方案</w:t>
            </w:r>
          </w:p>
        </w:tc>
        <w:tc>
          <w:tcPr>
            <w:tcW w:w="872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008701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针对项目需求，提供详细、可行的服务实施方案，内容须包括：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① 账号与会议室开通、配置、交付的标准流程；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② 与医院现有信息化环境（网络、终端）的适配与保障方案；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③ 针对医院管理员与最终用户的分级培训方案（形式、内容、计划）。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评分：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- 优 (</w:t>
            </w: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15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分)： 方案内容完整、逻辑清晰、细节详实、针对性强。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- 良 (</w:t>
            </w: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10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分)： 方案内容基本完整，逻辑较清晰，具有一定可操作性。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- 一般 (</w:t>
            </w: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5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分)： 方案简单、空洞，缺乏关键细节。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C9BCDF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E27BE79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1"/>
                <w:szCs w:val="21"/>
              </w:rPr>
              <w:t>主观分</w:t>
            </w:r>
          </w:p>
        </w:tc>
      </w:tr>
      <w:tr w14:paraId="53E9E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B2B353A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</w:p>
        </w:tc>
        <w:tc>
          <w:tcPr>
            <w:tcW w:w="21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D46D7F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2. 运维与应急方案</w:t>
            </w:r>
          </w:p>
        </w:tc>
        <w:tc>
          <w:tcPr>
            <w:tcW w:w="872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899A05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a) 日常运维支持方案 (</w:t>
            </w: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15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分)：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提供明确的7×24小时服务响应体系，包含热线、远程、现场支持渠道，并承诺具体响应与解决时限（如：15分钟响应，2小时远程解决等）。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- 优 (</w:t>
            </w: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15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分)： 体系完整、承诺具体、保障有力。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- 良 (</w:t>
            </w: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10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分)： 体系较完整，承诺基本明确。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- 一般 (</w:t>
            </w: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5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分)： 方案简略。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b) 重大故障应急预案 (</w:t>
            </w: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15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分)：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针对系统大规模中断等重大故障，提供专项应急预案，包含启动条件、指挥流程、处置步骤、恢复与报告机制。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- 优 (</w:t>
            </w: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15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分)： 预案完整、可行性强。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- 良 (</w:t>
            </w: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10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分)： 预案基本具备。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- 一般 (</w:t>
            </w: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5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分)： 预案缺失或敷衍。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8024CF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D589815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1"/>
                <w:szCs w:val="21"/>
              </w:rPr>
              <w:t>主观分</w:t>
            </w:r>
          </w:p>
        </w:tc>
      </w:tr>
      <w:tr w14:paraId="00077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6714043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</w:p>
        </w:tc>
        <w:tc>
          <w:tcPr>
            <w:tcW w:w="21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1D5342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3. 项目团队配置</w:t>
            </w:r>
          </w:p>
        </w:tc>
        <w:tc>
          <w:tcPr>
            <w:tcW w:w="872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9242BB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项目负责人1人、认证工程师1人、售后支持专员2人。</w:t>
            </w:r>
          </w:p>
          <w:p w14:paraId="44240B30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 xml:space="preserve"> 参选人根据采购需求提供本项目团队人员：</w:t>
            </w:r>
          </w:p>
          <w:p w14:paraId="1553971C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项目团队人员配置合理、人员项目经验丰富、充分满足项目要求得</w:t>
            </w: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15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 xml:space="preserve">分； </w:t>
            </w:r>
          </w:p>
          <w:p w14:paraId="0698D4DE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团队人员配置较合理、人员项目经验情况较好、满足项目要求得</w:t>
            </w: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10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 xml:space="preserve">分； </w:t>
            </w:r>
          </w:p>
          <w:p w14:paraId="762730F3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团队人员配置一般、人员项目经验情况一般、基本满足项目要求得</w:t>
            </w: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5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 xml:space="preserve">分； </w:t>
            </w:r>
          </w:p>
          <w:p w14:paraId="31D47F14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未提供相关内容不得分。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93797B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892F6EF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1"/>
                <w:szCs w:val="21"/>
              </w:rPr>
              <w:t>客观分</w:t>
            </w:r>
          </w:p>
        </w:tc>
      </w:tr>
      <w:tr w14:paraId="67BEE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A924967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总 分</w:t>
            </w:r>
          </w:p>
        </w:tc>
        <w:tc>
          <w:tcPr>
            <w:tcW w:w="21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FAFB3A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</w:p>
        </w:tc>
        <w:tc>
          <w:tcPr>
            <w:tcW w:w="872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EA3AEF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FECF9A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100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4BFD3F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</w:tbl>
    <w:p w14:paraId="3D947A80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bCs/>
          <w:sz w:val="32"/>
          <w:szCs w:val="32"/>
        </w:rPr>
      </w:pPr>
    </w:p>
    <w:p w14:paraId="4678FB8A">
      <w:pPr>
        <w:shd w:val="clear" w:color="auto" w:fill="FFFFFF"/>
        <w:spacing w:line="520" w:lineRule="exact"/>
        <w:contextualSpacing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 w:cs="Segoe UI"/>
          <w:color w:val="0F1115"/>
          <w:sz w:val="28"/>
          <w:szCs w:val="28"/>
          <w:shd w:val="clear" w:color="auto" w:fill="FFFFFF"/>
        </w:rPr>
        <w:t>评审员</w:t>
      </w:r>
      <w:r>
        <w:rPr>
          <w:rFonts w:ascii="仿宋" w:hAnsi="仿宋" w:eastAsia="仿宋" w:cs="Segoe UI"/>
          <w:color w:val="0F1115"/>
          <w:sz w:val="28"/>
          <w:szCs w:val="28"/>
        </w:rPr>
        <w:t>（签字）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b/>
          <w:sz w:val="28"/>
          <w:szCs w:val="28"/>
          <w:u w:val="single"/>
        </w:rPr>
        <w:t xml:space="preserve">                                         </w:t>
      </w:r>
      <w:r>
        <w:rPr>
          <w:rFonts w:ascii="仿宋" w:hAnsi="仿宋" w:eastAsia="仿宋"/>
          <w:b/>
          <w:sz w:val="28"/>
          <w:szCs w:val="28"/>
        </w:rPr>
        <w:t xml:space="preserve">   </w:t>
      </w:r>
    </w:p>
    <w:p w14:paraId="2C3AABCD">
      <w:r>
        <w:rPr>
          <w:rFonts w:ascii="仿宋" w:hAnsi="仿宋" w:eastAsia="仿宋" w:cs="Segoe UI"/>
          <w:color w:val="0F1115"/>
          <w:sz w:val="28"/>
          <w:szCs w:val="28"/>
          <w:shd w:val="clear" w:color="auto" w:fill="FFFFFF"/>
        </w:rPr>
        <w:t>评审</w:t>
      </w:r>
      <w:r>
        <w:rPr>
          <w:rFonts w:ascii="仿宋" w:hAnsi="仿宋" w:eastAsia="仿宋"/>
          <w:sz w:val="28"/>
          <w:szCs w:val="28"/>
        </w:rPr>
        <w:t>日期:</w:t>
      </w:r>
      <w:r>
        <w:rPr>
          <w:rFonts w:ascii="仿宋" w:hAnsi="仿宋" w:eastAsia="仿宋"/>
          <w:sz w:val="28"/>
          <w:szCs w:val="28"/>
          <w:u w:val="single"/>
        </w:rPr>
        <w:t>_   _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  <w:u w:val="single"/>
        </w:rPr>
        <w:t>_ _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  <w:u w:val="single"/>
        </w:rPr>
        <w:t>_ _</w:t>
      </w:r>
      <w:r>
        <w:rPr>
          <w:rFonts w:ascii="仿宋" w:hAnsi="仿宋" w:eastAsia="仿宋"/>
          <w:sz w:val="28"/>
          <w:szCs w:val="28"/>
        </w:rPr>
        <w:t>日</w:t>
      </w:r>
      <w:bookmarkStart w:id="0" w:name="_GoBack"/>
      <w:bookmarkEnd w:id="0"/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514681"/>
    <w:multiLevelType w:val="multilevel"/>
    <w:tmpl w:val="2D514681"/>
    <w:lvl w:ilvl="0" w:tentative="0">
      <w:start w:val="1"/>
      <w:numFmt w:val="decimal"/>
      <w:pStyle w:val="2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D74CE"/>
    <w:rsid w:val="64AD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line="360" w:lineRule="auto"/>
    </w:pPr>
    <w:rPr>
      <w:rFonts w:ascii="宋体" w:hAnsi="宋体" w:eastAsia="宋体" w:cs="宋体"/>
      <w:sz w:val="24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autoRedefine/>
    <w:qFormat/>
    <w:uiPriority w:val="0"/>
    <w:pPr>
      <w:widowControl/>
      <w:numPr>
        <w:ilvl w:val="0"/>
        <w:numId w:val="1"/>
      </w:numPr>
      <w:spacing w:line="520" w:lineRule="exact"/>
      <w:contextualSpacing/>
    </w:pPr>
    <w:rPr>
      <w:rFonts w:ascii="仿宋" w:hAnsi="仿宋" w:eastAsia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2026-01-13T07:11:00Z</dcterms:created>
  <dc:creator>Lyn</dc:creator>
  <cp:lastModifiedBy>Lyn</cp:lastModifiedBy>
  <dcterms:modified xsi:type="dcterms:W3CDTF">2026-01-13T07:13:33Z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002A8FC48DF94B93AE98AF5994FAF718_11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