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ABA9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color w:val="0F1115"/>
          <w:kern w:val="0"/>
          <w:sz w:val="24"/>
        </w:rPr>
      </w:pPr>
      <w:bookmarkStart w:id="0" w:name="OLE_LINK8"/>
      <w:bookmarkStart w:id="1" w:name="OLE_LINK9"/>
      <w:r>
        <w:rPr>
          <w:rFonts w:hint="eastAsia" w:cs="Segoe UI" w:asciiTheme="minorEastAsia" w:hAnsiTheme="minorEastAsia"/>
          <w:b/>
          <w:bCs/>
          <w:kern w:val="0"/>
          <w:sz w:val="24"/>
        </w:rPr>
        <w:t>附件五：</w:t>
      </w:r>
      <w:bookmarkEnd w:id="0"/>
      <w:bookmarkEnd w:id="1"/>
      <w:r>
        <w:rPr>
          <w:rFonts w:ascii="Segoe UI" w:hAnsi="Segoe UI" w:cs="Segoe UI"/>
          <w:b/>
          <w:bCs/>
          <w:color w:val="0F1115"/>
          <w:sz w:val="24"/>
          <w:szCs w:val="24"/>
        </w:rPr>
        <w:t>综合评分表</w:t>
      </w:r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（</w:t>
      </w:r>
      <w:r>
        <w:rPr>
          <w:rFonts w:cs="Segoe UI" w:asciiTheme="minorEastAsia" w:hAnsiTheme="minorEastAsia"/>
          <w:b/>
          <w:bCs/>
          <w:kern w:val="0"/>
          <w:sz w:val="24"/>
        </w:rPr>
        <w:t>总分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1</w:t>
      </w:r>
      <w:r>
        <w:rPr>
          <w:rFonts w:cs="Segoe UI" w:asciiTheme="minorEastAsia" w:hAnsiTheme="minorEastAsia"/>
          <w:b/>
          <w:bCs/>
          <w:kern w:val="0"/>
          <w:sz w:val="24"/>
        </w:rPr>
        <w:t>00分</w:t>
      </w:r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）</w:t>
      </w:r>
    </w:p>
    <w:p w14:paraId="2C763A2E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kern w:val="0"/>
          <w:sz w:val="24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cs="Segoe UI" w:asciiTheme="minorEastAsia" w:hAnsiTheme="minorEastAsia"/>
          <w:color w:val="0F1115"/>
          <w:kern w:val="0"/>
          <w:szCs w:val="21"/>
        </w:rPr>
        <w:t>24H无人药房自动取药机维保服务项目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4967"/>
        <w:gridCol w:w="992"/>
        <w:gridCol w:w="987"/>
      </w:tblGrid>
      <w:tr w14:paraId="76ED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00E1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评分部分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D595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评分因素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424D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评分标准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B479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分值</w:t>
            </w:r>
          </w:p>
        </w:tc>
        <w:tc>
          <w:tcPr>
            <w:tcW w:w="987" w:type="dxa"/>
            <w:vAlign w:val="center"/>
          </w:tcPr>
          <w:p w14:paraId="1588AF1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分值</w:t>
            </w:r>
            <w:r>
              <w:rPr>
                <w:rFonts w:cs="宋体" w:asciiTheme="minorEastAsia" w:hAnsiTheme="minorEastAsia"/>
                <w:snapToGrid w:val="0"/>
                <w:color w:val="000000"/>
                <w:spacing w:val="-6"/>
                <w:kern w:val="0"/>
                <w:szCs w:val="21"/>
                <w:lang w:eastAsia="en-US"/>
              </w:rPr>
              <w:t>属性</w:t>
            </w:r>
          </w:p>
        </w:tc>
      </w:tr>
      <w:tr w14:paraId="5AC1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946E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价格部分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30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34FF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8CBB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低价优先法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计算：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得分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= (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评标基准价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/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投标报价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) ×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价格权重分值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注：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价格平均法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等，需在招标文件中明确</w:t>
            </w: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4BA5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30</w:t>
            </w:r>
          </w:p>
        </w:tc>
        <w:tc>
          <w:tcPr>
            <w:tcW w:w="987" w:type="dxa"/>
            <w:vAlign w:val="center"/>
          </w:tcPr>
          <w:p w14:paraId="7C59FE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08A1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3089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商务部分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30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57F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企业资质与实力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325E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1. 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相关专业资质（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：具备维修、信息系统集成与运维、或设备制造商授权服务商等资质。根据资质与项目的匹配度、等级进行评分，优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</w:t>
            </w: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2. 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企业认证（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7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：具备有效的ISO9001质量管理体系认证得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分，同时具备ISO20000/ISO27001等IT服务或信息安全管理体系认证，每项加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分，本项满分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F883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12</w:t>
            </w:r>
          </w:p>
        </w:tc>
        <w:tc>
          <w:tcPr>
            <w:tcW w:w="987" w:type="dxa"/>
            <w:vAlign w:val="center"/>
          </w:tcPr>
          <w:p w14:paraId="7F0AF4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7F3B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3EE637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E7E73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类似项目业绩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C69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近三年内完成的自动取药机或同类智能医疗设备维保服务业绩。每提供1份有效的合同证明得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分，本项最高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分。（以合同关键页为准）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3D7A7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4</w:t>
            </w:r>
          </w:p>
        </w:tc>
        <w:tc>
          <w:tcPr>
            <w:tcW w:w="987" w:type="dxa"/>
            <w:vAlign w:val="center"/>
          </w:tcPr>
          <w:p w14:paraId="1FC4218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4F6B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461E7F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BFD2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服务团队与评价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E213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1. 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技术团队（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6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：拟派项目经理及工程师具备相关技术认证或培训证书，团队结构合理。优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2. 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服务评价（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8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：提供过往服务项目业主出具的书面好评或满意度证明（加盖公章），每份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分，最高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6CFB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14</w:t>
            </w:r>
          </w:p>
        </w:tc>
        <w:tc>
          <w:tcPr>
            <w:tcW w:w="987" w:type="dxa"/>
            <w:vAlign w:val="center"/>
          </w:tcPr>
          <w:p w14:paraId="78BFC1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主客观结合</w:t>
            </w:r>
          </w:p>
        </w:tc>
      </w:tr>
      <w:tr w14:paraId="0DCF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55DC13">
            <w:pPr>
              <w:widowControl/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技术部分</w:t>
            </w:r>
          </w:p>
          <w:p w14:paraId="660AE98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40</w:t>
            </w: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D55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维保服务方案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10C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定期保养方案（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：方案详细、针对性强（针对HOH-SY-24H机型），包含具体清洁、检测、校准、预防性维护内容及计划，可操作性强。优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紧急维护方案（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：流程清晰高效，涵盖7×24小时响应、30分钟远程、1个工作日现场、备件更换、闭环管理等全流程。优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506F2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20</w:t>
            </w:r>
          </w:p>
        </w:tc>
        <w:tc>
          <w:tcPr>
            <w:tcW w:w="987" w:type="dxa"/>
            <w:vAlign w:val="center"/>
          </w:tcPr>
          <w:p w14:paraId="29BA8DE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5B1E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D71534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2C8A9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质量保障与文档管理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DBD7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质量保障措施（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：有完善的服务流程、SLA管理、内部考核制度等，描述清晰。优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文档管理（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：承诺提供的保养报告、维护报告模板规范、内容详实，提交及时。优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A4BB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987" w:type="dxa"/>
            <w:vAlign w:val="center"/>
          </w:tcPr>
          <w:p w14:paraId="26205D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2DA8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CD98E9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66885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软件升级与培训方案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973E6">
            <w:pPr>
              <w:widowControl/>
              <w:jc w:val="center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软件升级（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：升级计划明确，承诺及时提供最新稳定版本。方案完善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培训方案（</w:t>
            </w:r>
            <w:r>
              <w:rPr>
                <w:rStyle w:val="4"/>
                <w:rFonts w:hint="eastAsia" w:cs="Segoe UI" w:asciiTheme="minorEastAsia" w:hAnsiTheme="minorEastAsia"/>
                <w:b w:val="0"/>
                <w:color w:val="0F1115"/>
                <w:szCs w:val="21"/>
              </w:rPr>
              <w:t>2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：培训内容针对医院操作人员，能确保掌握基本操作与简易故障处理。方案完善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</w:p>
          <w:p w14:paraId="7E32D8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3192D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987" w:type="dxa"/>
            <w:vAlign w:val="center"/>
          </w:tcPr>
          <w:p w14:paraId="512B3BB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1A2E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AD7A6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CC2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零配件供应与故障解决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9B77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备件保障（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：常用零配件供应渠道可靠，库存或调货方案明确，响应迅速。方案完善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故障诊断（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：对设备常见故障的诊断思路、排除方法描述详实，体现专业经验。方案好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697C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987" w:type="dxa"/>
            <w:vAlign w:val="center"/>
          </w:tcPr>
          <w:p w14:paraId="38A29B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1EC0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4260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总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评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9EA5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C1309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100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987" w:type="dxa"/>
            <w:vAlign w:val="center"/>
          </w:tcPr>
          <w:p w14:paraId="1F524A97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</w:tbl>
    <w:p w14:paraId="2C5D0519">
      <w:pPr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0985743A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宋体" w:cs="Segoe UI"/>
          <w:b/>
          <w:kern w:val="0"/>
          <w:sz w:val="24"/>
          <w:szCs w:val="24"/>
        </w:rPr>
      </w:pP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评审员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    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p w14:paraId="74A3DC6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D2DF1"/>
    <w:rsid w:val="66E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2025-12-29T05:23:00Z</dcterms:created>
  <dc:creator>Lyn</dc:creator>
  <cp:lastModifiedBy>Lyn</cp:lastModifiedBy>
  <dcterms:modified xsi:type="dcterms:W3CDTF">2025-12-29T05:23:36Z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CBBEBF863E814706ADAD676CFC1C1714_11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