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E524">
      <w:pPr>
        <w:widowControl/>
        <w:shd w:val="clear" w:color="auto" w:fill="FFFFFF"/>
        <w:spacing w:line="360" w:lineRule="auto"/>
        <w:contextualSpacing/>
        <w:jc w:val="left"/>
        <w:rPr>
          <w:rFonts w:cs="Segoe UI" w:asciiTheme="minorEastAsia" w:hAnsiTheme="minorEastAsia"/>
          <w:b/>
          <w:bCs/>
          <w:color w:val="0F1115"/>
          <w:kern w:val="0"/>
          <w:sz w:val="24"/>
        </w:rPr>
      </w:pPr>
      <w:bookmarkStart w:id="0" w:name="OLE_LINK9"/>
      <w:bookmarkStart w:id="1" w:name="OLE_LINK8"/>
      <w:r>
        <w:rPr>
          <w:rFonts w:hint="eastAsia" w:cs="Segoe UI" w:asciiTheme="minorEastAsia" w:hAnsiTheme="minorEastAsia"/>
          <w:b/>
          <w:bCs/>
          <w:kern w:val="0"/>
          <w:sz w:val="24"/>
        </w:rPr>
        <w:t>附件五：</w:t>
      </w:r>
      <w:bookmarkEnd w:id="0"/>
      <w:bookmarkEnd w:id="1"/>
      <w:r>
        <w:rPr>
          <w:rFonts w:cs="Segoe UI" w:asciiTheme="minorEastAsia" w:hAnsiTheme="minorEastAsia"/>
          <w:b/>
          <w:bCs/>
          <w:color w:val="0F1115"/>
          <w:kern w:val="0"/>
          <w:sz w:val="24"/>
        </w:rPr>
        <w:t>评标标准及分值分配（</w:t>
      </w:r>
      <w:r>
        <w:rPr>
          <w:rFonts w:cs="Segoe UI" w:asciiTheme="minorEastAsia" w:hAnsiTheme="minorEastAsia"/>
          <w:b/>
          <w:bCs/>
          <w:kern w:val="0"/>
          <w:sz w:val="24"/>
        </w:rPr>
        <w:t>总分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1</w:t>
      </w:r>
      <w:r>
        <w:rPr>
          <w:rFonts w:cs="Segoe UI" w:asciiTheme="minorEastAsia" w:hAnsiTheme="minorEastAsia"/>
          <w:b/>
          <w:bCs/>
          <w:kern w:val="0"/>
          <w:sz w:val="24"/>
        </w:rPr>
        <w:t>00分</w:t>
      </w:r>
      <w:r>
        <w:rPr>
          <w:rFonts w:cs="Segoe UI" w:asciiTheme="minorEastAsia" w:hAnsiTheme="minorEastAsia"/>
          <w:b/>
          <w:bCs/>
          <w:color w:val="0F1115"/>
          <w:kern w:val="0"/>
          <w:sz w:val="24"/>
        </w:rPr>
        <w:t>）</w:t>
      </w:r>
    </w:p>
    <w:p w14:paraId="24AD0216">
      <w:pPr>
        <w:widowControl/>
        <w:shd w:val="clear" w:color="auto" w:fill="FFFFFF"/>
        <w:spacing w:line="360" w:lineRule="auto"/>
        <w:contextualSpacing/>
        <w:jc w:val="left"/>
        <w:rPr>
          <w:rFonts w:cs="Segoe UI" w:asciiTheme="minorEastAsia" w:hAnsiTheme="minorEastAsia"/>
          <w:b/>
          <w:bCs/>
          <w:kern w:val="0"/>
          <w:sz w:val="24"/>
        </w:rPr>
      </w:pPr>
      <w:r>
        <w:rPr>
          <w:rFonts w:ascii="Segoe UI" w:hAnsi="Segoe UI" w:cs="Segoe UI"/>
          <w:color w:val="0F1115"/>
          <w:sz w:val="24"/>
          <w:shd w:val="clear" w:color="auto" w:fill="FFFFFF"/>
        </w:rPr>
        <w:t>项目名称：</w:t>
      </w:r>
      <w:r>
        <w:rPr>
          <w:rFonts w:ascii="Segoe UI" w:cs="Segoe UI"/>
          <w:color w:val="0F1115"/>
          <w:sz w:val="24"/>
          <w:shd w:val="clear" w:color="auto" w:fill="FFFFFF"/>
        </w:rPr>
        <w:t> </w:t>
      </w:r>
      <w:r>
        <w:rPr>
          <w:rFonts w:hint="eastAsia"/>
          <w:sz w:val="24"/>
          <w:szCs w:val="24"/>
        </w:rPr>
        <w:t>2026年法律顾问服务项目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7"/>
        <w:gridCol w:w="4860"/>
        <w:gridCol w:w="1099"/>
        <w:gridCol w:w="987"/>
      </w:tblGrid>
      <w:tr w14:paraId="4D96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3CC07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bookmarkStart w:id="2" w:name="OLE_LINK21"/>
            <w:bookmarkStart w:id="3" w:name="OLE_LINK20"/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评分部分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6E163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评分因素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CCCB9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评分标准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F9BF3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分值</w:t>
            </w:r>
          </w:p>
        </w:tc>
        <w:tc>
          <w:tcPr>
            <w:tcW w:w="987" w:type="dxa"/>
            <w:vAlign w:val="center"/>
          </w:tcPr>
          <w:p w14:paraId="2FD6B77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napToGrid w:val="0"/>
                <w:color w:val="000000"/>
                <w:spacing w:val="-7"/>
                <w:kern w:val="0"/>
                <w:szCs w:val="21"/>
                <w:lang w:eastAsia="en-US"/>
              </w:rPr>
              <w:t>分值</w:t>
            </w:r>
            <w:r>
              <w:rPr>
                <w:rFonts w:cs="宋体" w:asciiTheme="minorEastAsia" w:hAnsiTheme="minorEastAsia"/>
                <w:snapToGrid w:val="0"/>
                <w:color w:val="000000"/>
                <w:spacing w:val="-6"/>
                <w:kern w:val="0"/>
                <w:szCs w:val="21"/>
                <w:lang w:eastAsia="en-US"/>
              </w:rPr>
              <w:t>属性</w:t>
            </w:r>
          </w:p>
        </w:tc>
      </w:tr>
      <w:tr w14:paraId="4D1F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BAFAD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价格部分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4"/>
                <w:rFonts w:hint="eastAsia"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10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126AF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E8F147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低价优先法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计算：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得分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= (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评标基准价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/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投标报价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) ×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价格权重分值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注：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评标基准价是满足招标文件要求的所有有效投标报价中的最低价。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或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价格平均法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等，需在招标文件中明确</w:t>
            </w: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。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CCA4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987" w:type="dxa"/>
            <w:vAlign w:val="center"/>
          </w:tcPr>
          <w:p w14:paraId="60B8852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7136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E2C79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商务部分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4"/>
                <w:rFonts w:hint="eastAsia"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25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813219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综合实力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4E037D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ascii="Segoe UI" w:hAnsi="Segoe UI" w:cs="Segoe UI"/>
                <w:b w:val="0"/>
                <w:color w:val="0F1115"/>
                <w:szCs w:val="21"/>
                <w:shd w:val="clear" w:color="auto" w:fill="FFFFFF"/>
              </w:rPr>
              <w:t>1. 成立年限（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5</w:t>
            </w:r>
            <w:r>
              <w:rPr>
                <w:rStyle w:val="4"/>
                <w:rFonts w:ascii="Segoe UI" w:hAnsi="Segoe UI" w:cs="Segoe UI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 以《律师事务所执业许可证》发证日期计算，成立15年及以上得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5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分；10年（含）-15年得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4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分；5年（含）-10年得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3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分；5年以下不得分。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Style w:val="4"/>
                <w:rFonts w:ascii="Segoe UI" w:hAnsi="Segoe UI" w:cs="Segoe UI"/>
                <w:b w:val="0"/>
                <w:color w:val="0F1115"/>
                <w:szCs w:val="21"/>
                <w:shd w:val="clear" w:color="auto" w:fill="FFFFFF"/>
              </w:rPr>
              <w:t>2. 专业规模（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5</w:t>
            </w:r>
            <w:r>
              <w:rPr>
                <w:rStyle w:val="4"/>
                <w:rFonts w:ascii="Segoe UI" w:hAnsi="Segoe UI" w:cs="Segoe UI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 以北京市执业律师人数计，50人及以上得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5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分；30人（含）-50人得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4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分；10人（含）-30人得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3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分；10人以下不得分。（须提供律所人员名单并盖章）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00497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987" w:type="dxa"/>
            <w:vAlign w:val="center"/>
          </w:tcPr>
          <w:p w14:paraId="5972EF1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客观</w:t>
            </w:r>
          </w:p>
        </w:tc>
      </w:tr>
      <w:tr w14:paraId="7D70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2E1AB9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09384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类似项目业绩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C430AC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在满足资格要求2项业绩的基础上，每增加1项近三年（2022年12月1日至今）为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三级甲等医院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提供常年法律顾问服务的有效合同，得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分；每增加1项为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其他医疗机构或大型事业单位/国企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提供常年法律顾问服务的有效合同，得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0.5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分。本项累计最高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分。（须提供合同关键页，业绩时间以合同签订日期为准）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注：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本项累计最高</w:t>
            </w: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分。须提供合同关键页及能证明履约的辅助材料（如结算发票、服务评价等）。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4325B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5</w:t>
            </w:r>
          </w:p>
        </w:tc>
        <w:tc>
          <w:tcPr>
            <w:tcW w:w="987" w:type="dxa"/>
            <w:vAlign w:val="center"/>
          </w:tcPr>
          <w:p w14:paraId="1C60A052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3CEC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F9C59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30E7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服务团队配置与资质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3DD3CB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1.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主办律师（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8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拟派主办律师具备10年以上执业经验得4分，5-10年得2分；具有医疗卫生法、行政法等领域专业资格或认证（如相关专业委员会任职、发表专业文章等）得2分；曾代理过医疗卫生领域的重大诉讼或非诉项目（需举例说明）得2分。累计最高8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2.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团队支持（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：承诺为本项目配置包含主办律师在内不少于3人的专业服务团队，且团队成员具备不同法律领域专长，得2分。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CC78F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987" w:type="dxa"/>
            <w:vAlign w:val="center"/>
          </w:tcPr>
          <w:p w14:paraId="3F6C640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主客观结合</w:t>
            </w:r>
          </w:p>
        </w:tc>
      </w:tr>
      <w:tr w14:paraId="6DB0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 w:hRule="atLeast"/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6C8EA9">
            <w:pPr>
              <w:widowControl/>
              <w:kinsoku w:val="0"/>
              <w:autoSpaceDE w:val="0"/>
              <w:autoSpaceDN w:val="0"/>
              <w:adjustRightInd w:val="0"/>
              <w:spacing w:before="101" w:line="360" w:lineRule="auto"/>
              <w:contextualSpacing/>
              <w:jc w:val="center"/>
              <w:rPr>
                <w:rFonts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技术部分</w:t>
            </w:r>
          </w:p>
          <w:p w14:paraId="503EF68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65</w:t>
            </w: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CDDAA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服务方案与理解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70BC7B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根据对医院法律需求的理解、服务响应机制、日常沟通计划、工作流程设计的全面性、合理性、可行性进行综合评议：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35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：方案完全契合医院特点，流程清晰高效，沟通机制健全，有创新性建议。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25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：方案较契合，流程合理，沟通机制明确。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：方案基本满足要求，但深度不足。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差（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：方案空洞，缺乏针对性。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B24F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35</w:t>
            </w:r>
          </w:p>
        </w:tc>
        <w:tc>
          <w:tcPr>
            <w:tcW w:w="987" w:type="dxa"/>
            <w:vAlign w:val="center"/>
          </w:tcPr>
          <w:p w14:paraId="6A0E138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69FB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CE3324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34498D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诉讼/仲裁案件服务方案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BEC9E5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针对医院可能涉及的诉讼仲裁案件，就案件评估、代理策略、进度管理、风险控制、复盘汇报等方面提出具体服务方案：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：方案专业、详实，流程闭环，风险管控措施有力。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：方案较详实，流程基本完整。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：方案较为简单。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差（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：无具体方案或过于空泛。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9C0E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15</w:t>
            </w:r>
          </w:p>
        </w:tc>
        <w:tc>
          <w:tcPr>
            <w:tcW w:w="987" w:type="dxa"/>
            <w:vAlign w:val="center"/>
          </w:tcPr>
          <w:p w14:paraId="69487F3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07BC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12258C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151A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法治建设与培训方案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31BF96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针对医院法治建设、规章制度审查、员工法律培训等方面提出的具体方案和计划：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：方案系统性强，贴合医疗行业合规要求，培训内容及形式有吸引力。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：方案有针对性，内容较充实。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：方案内容较为常规。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差（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：方案敷衍。</w:t>
            </w: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DE01E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15</w:t>
            </w:r>
          </w:p>
        </w:tc>
        <w:tc>
          <w:tcPr>
            <w:tcW w:w="987" w:type="dxa"/>
            <w:vAlign w:val="center"/>
          </w:tcPr>
          <w:p w14:paraId="0D56B11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7010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3CDE6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总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评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</w:t>
            </w:r>
          </w:p>
        </w:tc>
        <w:tc>
          <w:tcPr>
            <w:tcW w:w="4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020B2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0CFDD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100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</w:t>
            </w:r>
          </w:p>
        </w:tc>
        <w:tc>
          <w:tcPr>
            <w:tcW w:w="987" w:type="dxa"/>
            <w:vAlign w:val="center"/>
          </w:tcPr>
          <w:p w14:paraId="3CC9CBF1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bookmarkEnd w:id="2"/>
      <w:bookmarkEnd w:id="3"/>
    </w:tbl>
    <w:p w14:paraId="655B134C">
      <w:pPr>
        <w:spacing w:line="360" w:lineRule="auto"/>
        <w:contextualSpacing/>
        <w:rPr>
          <w:rFonts w:ascii="楷体" w:hAnsi="楷体" w:eastAsia="楷体" w:cs="楷体"/>
          <w:b/>
          <w:bCs/>
          <w:color w:val="000000"/>
          <w:spacing w:val="7"/>
          <w:kern w:val="0"/>
          <w:sz w:val="24"/>
        </w:rPr>
      </w:pPr>
    </w:p>
    <w:p w14:paraId="2503CBD1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/>
          <w:kern w:val="0"/>
          <w:sz w:val="24"/>
          <w:szCs w:val="24"/>
        </w:rPr>
      </w:pPr>
      <w:r>
        <w:rPr>
          <w:rStyle w:val="4"/>
          <w:rFonts w:ascii="Segoe UI" w:hAnsi="Segoe UI" w:cs="Segoe UI"/>
          <w:b w:val="0"/>
          <w:color w:val="0F1115"/>
          <w:sz w:val="24"/>
          <w:szCs w:val="24"/>
          <w:shd w:val="clear" w:color="auto" w:fill="FFFFFF"/>
        </w:rPr>
        <w:t>评审员（</w:t>
      </w:r>
      <w:r>
        <w:rPr>
          <w:rFonts w:hint="eastAsia" w:cs="Segoe UI" w:asciiTheme="minorEastAsia" w:hAnsiTheme="minorEastAsia"/>
          <w:bCs/>
          <w:kern w:val="0"/>
          <w:sz w:val="24"/>
          <w:szCs w:val="24"/>
        </w:rPr>
        <w:t>签名</w:t>
      </w:r>
      <w:r>
        <w:rPr>
          <w:rStyle w:val="4"/>
          <w:rFonts w:ascii="Segoe UI" w:hAnsi="Segoe UI" w:cs="Segoe UI"/>
          <w:b w:val="0"/>
          <w:color w:val="0F1115"/>
          <w:sz w:val="24"/>
          <w:szCs w:val="24"/>
          <w:shd w:val="clear" w:color="auto" w:fill="FFFFFF"/>
        </w:rPr>
        <w:t>）</w:t>
      </w:r>
      <w:r>
        <w:rPr>
          <w:rFonts w:hint="eastAsia" w:cs="Segoe UI" w:asciiTheme="minorEastAsia" w:hAnsiTheme="minorEastAsia"/>
          <w:bCs/>
          <w:kern w:val="0"/>
          <w:sz w:val="24"/>
          <w:szCs w:val="24"/>
        </w:rPr>
        <w:t>：</w:t>
      </w:r>
      <w:r>
        <w:rPr>
          <w:rFonts w:cs="Segoe UI" w:asciiTheme="minorEastAsia" w:hAnsiTheme="minorEastAsia"/>
          <w:b/>
          <w:kern w:val="0"/>
          <w:sz w:val="24"/>
          <w:szCs w:val="24"/>
        </w:rPr>
        <w:t>________</w:t>
      </w:r>
      <w:r>
        <w:rPr>
          <w:rFonts w:cs="Segoe UI" w:asciiTheme="minorEastAsia" w:hAnsiTheme="minorEastAsia"/>
          <w:b/>
          <w:kern w:val="0"/>
          <w:sz w:val="24"/>
          <w:szCs w:val="24"/>
          <w:u w:val="single"/>
        </w:rPr>
        <w:t xml:space="preserve">        </w:t>
      </w:r>
      <w:r>
        <w:rPr>
          <w:rFonts w:cs="Segoe UI" w:asciiTheme="minorEastAsia" w:hAnsiTheme="minorEastAsia"/>
          <w:b/>
          <w:kern w:val="0"/>
          <w:sz w:val="24"/>
          <w:szCs w:val="24"/>
        </w:rPr>
        <w:t>_____</w:t>
      </w:r>
      <w:r>
        <w:rPr>
          <w:rStyle w:val="4"/>
          <w:rFonts w:ascii="Segoe UI" w:hAnsi="Segoe UI" w:cs="Segoe UI"/>
          <w:b w:val="0"/>
          <w:color w:val="0F1115"/>
          <w:sz w:val="24"/>
          <w:szCs w:val="24"/>
          <w:shd w:val="clear" w:color="auto" w:fill="FFFFFF"/>
        </w:rPr>
        <w:t>评审</w:t>
      </w:r>
      <w:r>
        <w:rPr>
          <w:rFonts w:hint="eastAsia" w:cs="Segoe UI" w:asciiTheme="minorEastAsia" w:hAnsiTheme="minorEastAsia"/>
          <w:bCs/>
          <w:kern w:val="0"/>
          <w:sz w:val="24"/>
          <w:szCs w:val="24"/>
        </w:rPr>
        <w:t>日期</w:t>
      </w:r>
      <w:r>
        <w:rPr>
          <w:rFonts w:cs="Segoe UI" w:asciiTheme="minorEastAsia" w:hAnsiTheme="minorEastAsia"/>
          <w:bCs/>
          <w:kern w:val="0"/>
          <w:sz w:val="24"/>
          <w:szCs w:val="24"/>
        </w:rPr>
        <w:t>:</w:t>
      </w:r>
      <w:r>
        <w:rPr>
          <w:rFonts w:cs="Segoe UI" w:asciiTheme="minorEastAsia" w:hAnsiTheme="minorEastAsia"/>
          <w:kern w:val="0"/>
          <w:sz w:val="24"/>
          <w:szCs w:val="24"/>
        </w:rPr>
        <w:t>_</w:t>
      </w:r>
      <w:r>
        <w:rPr>
          <w:rFonts w:cs="Segoe UI" w:asciiTheme="minorEastAsia" w:hAnsiTheme="minorEastAsia"/>
          <w:kern w:val="0"/>
          <w:sz w:val="24"/>
          <w:szCs w:val="24"/>
          <w:u w:val="single"/>
        </w:rPr>
        <w:t xml:space="preserve">    </w:t>
      </w:r>
      <w:r>
        <w:rPr>
          <w:rFonts w:cs="Segoe UI" w:asciiTheme="minorEastAsia" w:hAnsiTheme="minorEastAsia"/>
          <w:kern w:val="0"/>
          <w:sz w:val="24"/>
          <w:szCs w:val="24"/>
        </w:rPr>
        <w:t>___年_</w:t>
      </w:r>
      <w:r>
        <w:rPr>
          <w:rFonts w:cs="Segoe UI" w:asciiTheme="minorEastAsia" w:hAnsiTheme="minorEastAsia"/>
          <w:kern w:val="0"/>
          <w:sz w:val="24"/>
          <w:szCs w:val="24"/>
          <w:u w:val="single"/>
        </w:rPr>
        <w:t xml:space="preserve">   </w:t>
      </w:r>
      <w:r>
        <w:rPr>
          <w:rFonts w:cs="Segoe UI" w:asciiTheme="minorEastAsia" w:hAnsiTheme="minorEastAsia"/>
          <w:kern w:val="0"/>
          <w:sz w:val="24"/>
          <w:szCs w:val="24"/>
        </w:rPr>
        <w:t>_月_</w:t>
      </w:r>
      <w:r>
        <w:rPr>
          <w:rFonts w:cs="Segoe UI" w:asciiTheme="minorEastAsia" w:hAnsiTheme="minorEastAsia"/>
          <w:kern w:val="0"/>
          <w:sz w:val="24"/>
          <w:szCs w:val="24"/>
          <w:u w:val="single"/>
        </w:rPr>
        <w:t xml:space="preserve">   </w:t>
      </w:r>
      <w:r>
        <w:rPr>
          <w:rFonts w:cs="Segoe UI" w:asciiTheme="minorEastAsia" w:hAnsiTheme="minorEastAsia"/>
          <w:kern w:val="0"/>
          <w:sz w:val="24"/>
          <w:szCs w:val="24"/>
        </w:rPr>
        <w:t>_日</w:t>
      </w:r>
    </w:p>
    <w:p w14:paraId="42B96E1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6214A"/>
    <w:rsid w:val="5C26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2025-12-29T03:29:00Z</dcterms:created>
  <dc:creator>Lyn</dc:creator>
  <cp:lastModifiedBy>Lyn</cp:lastModifiedBy>
  <dcterms:modified xsi:type="dcterms:W3CDTF">2025-12-29T03:29:41Z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3656FE9608A64322B1CCE53AA2C680E4_11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