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DFFA6">
      <w:pPr>
        <w:widowControl/>
        <w:shd w:val="clear" w:color="auto" w:fill="FFFFFF"/>
        <w:spacing w:before="480" w:after="240" w:line="360" w:lineRule="auto"/>
        <w:contextualSpacing/>
        <w:jc w:val="left"/>
        <w:outlineLvl w:val="2"/>
        <w:rPr>
          <w:rFonts w:cs="Segoe UI"/>
          <w:b/>
          <w:bCs/>
          <w:color w:val="0F1115"/>
          <w:sz w:val="24"/>
        </w:rPr>
      </w:pPr>
      <w:bookmarkStart w:id="0" w:name="OLE_LINK8"/>
      <w:bookmarkStart w:id="1" w:name="OLE_LINK9"/>
      <w:r>
        <w:rPr>
          <w:rFonts w:hint="eastAsia" w:cs="Segoe UI" w:asciiTheme="minorEastAsia" w:hAnsiTheme="minorEastAsia"/>
          <w:b/>
          <w:bCs/>
          <w:kern w:val="0"/>
          <w:sz w:val="24"/>
        </w:rPr>
        <w:t>附件五：</w:t>
      </w:r>
      <w:bookmarkEnd w:id="0"/>
      <w:bookmarkEnd w:id="1"/>
      <w:r>
        <w:rPr>
          <w:rFonts w:hint="eastAsia" w:ascii="Segoe UI" w:hAnsi="Segoe UI" w:cs="Segoe UI"/>
          <w:b/>
          <w:color w:val="0F1115"/>
        </w:rPr>
        <w:t>综合评分表</w:t>
      </w:r>
      <w:r>
        <w:rPr>
          <w:rFonts w:hint="eastAsia" w:cs="Segoe UI"/>
          <w:b/>
          <w:bCs/>
          <w:color w:val="0F1115"/>
          <w:sz w:val="24"/>
        </w:rPr>
        <w:t>（</w:t>
      </w:r>
      <w:r>
        <w:rPr>
          <w:rFonts w:hint="eastAsia" w:cs="Segoe UI"/>
          <w:b/>
          <w:bCs/>
          <w:sz w:val="24"/>
        </w:rPr>
        <w:t>总分</w:t>
      </w:r>
      <w:r>
        <w:rPr>
          <w:rFonts w:cs="Segoe UI"/>
          <w:b/>
          <w:bCs/>
          <w:sz w:val="24"/>
        </w:rPr>
        <w:t>100</w:t>
      </w:r>
      <w:r>
        <w:rPr>
          <w:rFonts w:hint="eastAsia" w:cs="Segoe UI"/>
          <w:b/>
          <w:bCs/>
          <w:sz w:val="24"/>
        </w:rPr>
        <w:t>分</w:t>
      </w:r>
      <w:r>
        <w:rPr>
          <w:rFonts w:hint="eastAsia" w:cs="Segoe UI"/>
          <w:b/>
          <w:bCs/>
          <w:color w:val="0F1115"/>
          <w:sz w:val="24"/>
        </w:rPr>
        <w:t>）</w:t>
      </w:r>
    </w:p>
    <w:p w14:paraId="6311314B">
      <w:pPr>
        <w:pStyle w:val="2"/>
        <w:shd w:val="clear" w:color="auto" w:fill="FFFFFF"/>
        <w:spacing w:line="360" w:lineRule="auto"/>
        <w:contextualSpacing/>
        <w:rPr>
          <w:rFonts w:ascii="Segoe UI" w:hAnsi="Segoe UI" w:cs="Segoe UI"/>
          <w:b w:val="0"/>
          <w:bCs w:val="0"/>
          <w:color w:val="0F1115"/>
          <w:sz w:val="21"/>
          <w:szCs w:val="21"/>
          <w:shd w:val="clear" w:color="auto" w:fill="FFFFFF"/>
        </w:rPr>
      </w:pPr>
      <w:r>
        <w:rPr>
          <w:rFonts w:hint="eastAsia" w:ascii="Segoe UI" w:hAnsi="Segoe UI" w:cs="Segoe UI"/>
          <w:b w:val="0"/>
          <w:color w:val="0F1115"/>
          <w:sz w:val="21"/>
          <w:szCs w:val="21"/>
          <w:shd w:val="clear" w:color="auto" w:fill="FFFFFF"/>
        </w:rPr>
        <w:t>项目名称：</w:t>
      </w:r>
      <w:r>
        <w:rPr>
          <w:rFonts w:hint="eastAsia" w:asciiTheme="minorEastAsia" w:hAnsiTheme="minorEastAsia" w:cstheme="minorEastAsia"/>
          <w:b w:val="0"/>
          <w:sz w:val="24"/>
          <w:szCs w:val="24"/>
        </w:rPr>
        <w:t>医疗废物处置</w:t>
      </w:r>
      <w:r>
        <w:rPr>
          <w:rFonts w:ascii="Segoe UI" w:hAnsi="Segoe UI" w:cs="Segoe UI"/>
          <w:b w:val="0"/>
          <w:color w:val="0F1115"/>
          <w:kern w:val="36"/>
          <w:sz w:val="24"/>
          <w:szCs w:val="24"/>
        </w:rPr>
        <w:t>服务</w:t>
      </w:r>
      <w:r>
        <w:rPr>
          <w:rFonts w:hint="eastAsia" w:ascii="Segoe UI" w:hAnsi="Segoe UI" w:cs="Segoe UI"/>
          <w:b w:val="0"/>
          <w:color w:val="0F1115"/>
          <w:kern w:val="36"/>
          <w:sz w:val="24"/>
          <w:szCs w:val="24"/>
        </w:rPr>
        <w:t>项目</w:t>
      </w:r>
    </w:p>
    <w:tbl>
      <w:tblPr>
        <w:tblStyle w:val="3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4967"/>
        <w:gridCol w:w="1129"/>
        <w:gridCol w:w="850"/>
      </w:tblGrid>
      <w:tr w14:paraId="31EDE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2578D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bookmarkStart w:id="2" w:name="OLE_LINK21"/>
            <w:bookmarkStart w:id="3" w:name="OLE_LINK20"/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评分部分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AB65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评分因素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951EB5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Arial" w:asciiTheme="minorEastAsia" w:hAnsiTheme="minorEastAsia"/>
                <w:color w:val="000000"/>
                <w:spacing w:val="-3"/>
                <w:kern w:val="0"/>
                <w:szCs w:val="21"/>
                <w:lang w:eastAsia="en-US"/>
              </w:rPr>
              <w:t>评分标准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BE4A3E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分值</w:t>
            </w:r>
          </w:p>
        </w:tc>
        <w:tc>
          <w:tcPr>
            <w:tcW w:w="850" w:type="dxa"/>
            <w:vAlign w:val="center"/>
          </w:tcPr>
          <w:p w14:paraId="4D32D3A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cs="宋体" w:asciiTheme="minorEastAsia" w:hAnsiTheme="minorEastAsia"/>
                <w:snapToGrid w:val="0"/>
                <w:color w:val="000000"/>
                <w:spacing w:val="-7"/>
                <w:kern w:val="0"/>
                <w:szCs w:val="21"/>
                <w:lang w:eastAsia="en-US"/>
              </w:rPr>
              <w:t>分值</w:t>
            </w:r>
            <w:r>
              <w:rPr>
                <w:rFonts w:cs="宋体" w:asciiTheme="minorEastAsia" w:hAnsiTheme="minorEastAsia"/>
                <w:snapToGrid w:val="0"/>
                <w:color w:val="000000"/>
                <w:spacing w:val="-6"/>
                <w:kern w:val="0"/>
                <w:szCs w:val="21"/>
                <w:lang w:eastAsia="en-US"/>
              </w:rPr>
              <w:t>属性</w:t>
            </w:r>
          </w:p>
        </w:tc>
      </w:tr>
      <w:tr w14:paraId="01221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C42CE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价格部分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FBEA26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投标报价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9525ED0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低价优先法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计算：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得分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= (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评标基准价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 /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投标报价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 xml:space="preserve">) × </w:t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价格权重分值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注：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评标基准价是满足招标文件要求的所有有效投标报价中的最低价。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</w:rPr>
              <w:br w:type="textWrapping"/>
            </w:r>
            <w:r>
              <w:rPr>
                <w:rFonts w:hint="eastAsia" w:cs="微软雅黑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</w:rPr>
              <w:t>或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 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采用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“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价格平均法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”</w:t>
            </w:r>
            <w:r>
              <w:rPr>
                <w:rFonts w:hint="eastAsia" w:cs="微软雅黑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等，需在招标文件中明确</w:t>
            </w:r>
            <w:r>
              <w:rPr>
                <w:rFonts w:hint="eastAsia" w:cs="宋体" w:asciiTheme="minorEastAsia" w:hAnsiTheme="minorEastAsia"/>
                <w:color w:val="0F1115"/>
                <w:kern w:val="0"/>
                <w:szCs w:val="21"/>
                <w:shd w:val="clear" w:color="auto" w:fill="FFFFFF"/>
              </w:rPr>
              <w:t>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80C357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176B0EC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0D02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2987C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商务部分</w:t>
            </w:r>
            <w:r>
              <w:rPr>
                <w:rFonts w:cs="Segoe UI" w:asciiTheme="minorEastAsia" w:hAnsiTheme="minorEastAsia"/>
                <w:color w:val="0F1115"/>
                <w:kern w:val="0"/>
                <w:szCs w:val="21"/>
                <w:lang w:eastAsia="en-US"/>
              </w:rPr>
              <w:br w:type="textWrapping"/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</w:t>
            </w:r>
            <w:r>
              <w:rPr>
                <w:rStyle w:val="5"/>
              </w:rPr>
              <w:t>40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4AEA3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企业资质与实力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08D854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1. 环保及安全管理认证（客观）：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 具备有效的ISO14001环境管理体系认证，得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 具备有效的ISO45001职业健康安全管理体系认证，得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8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（本小项提供证书复印件并加盖公章，可累计得分）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5FC62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204187C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69F98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DFFD8D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B2D920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类似项目业绩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489676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提供近三年（2022年12月至今）完成的医疗废物处置服务合同：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三级甲等医院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的服务合同，得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分；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其他医疗机构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的服务合同，得2分。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注：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本项累计最高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分。须提供合同关键页及能证明履约的辅助材料（如结算发票、服务评价等）。</w:t>
            </w:r>
          </w:p>
          <w:p w14:paraId="31C10296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8D068A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4140B20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客观</w:t>
            </w:r>
          </w:p>
        </w:tc>
      </w:tr>
      <w:tr w14:paraId="709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52F562D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09B6B8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服务团队与评价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3B3776E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根据拟派项目负责人及核心团队成员的资质、经验进行评价：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优（10分）：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团队配置完整（含负责人、司机、交接员等），均具备相关环保、安全培训证书，且项目负责人具有5年以上同类项目管理经验。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团队配置基本完整，主要人员具备相关证书，项目负责人具有3年以上同类项目管理经验。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团队配置或人员资质、经验一般，能满足基本要求。</w:t>
            </w:r>
          </w:p>
          <w:p w14:paraId="36F96E7C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105561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7FA824E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主观</w:t>
            </w:r>
          </w:p>
        </w:tc>
      </w:tr>
      <w:tr w14:paraId="75756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7B4B236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259B74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信用与评价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C9A92E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在满足资格性审查基本要求基础上，提供近三年获得的服务单位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书面表扬信、感谢信或同类荣誉证明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（需加盖服务单位公章）：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• 每提供1份，得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3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</w:rPr>
              <w:t>注：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 本项累计最高</w:t>
            </w: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t>分。</w:t>
            </w:r>
          </w:p>
          <w:p w14:paraId="466BFCE3">
            <w:pPr>
              <w:spacing w:line="360" w:lineRule="auto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D16CA1">
            <w:pPr>
              <w:spacing w:line="36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黑体" w:asciiTheme="minorEastAsia" w:hAnsiTheme="minorEastAsia"/>
                <w:color w:val="000000"/>
                <w:spacing w:val="6"/>
                <w:kern w:val="0"/>
                <w:szCs w:val="21"/>
              </w:rPr>
              <w:t>10</w:t>
            </w:r>
          </w:p>
        </w:tc>
        <w:tc>
          <w:tcPr>
            <w:tcW w:w="850" w:type="dxa"/>
            <w:vAlign w:val="center"/>
          </w:tcPr>
          <w:p w14:paraId="78411FFF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客观</w:t>
            </w:r>
          </w:p>
        </w:tc>
      </w:tr>
      <w:tr w14:paraId="4ECF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4D8F569">
            <w:pPr>
              <w:widowControl/>
              <w:kinsoku w:val="0"/>
              <w:autoSpaceDE w:val="0"/>
              <w:autoSpaceDN w:val="0"/>
              <w:adjustRightInd w:val="0"/>
              <w:spacing w:before="101" w:line="360" w:lineRule="auto"/>
              <w:contextualSpacing/>
              <w:jc w:val="center"/>
              <w:rPr>
                <w:rFonts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</w:pP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技术部分</w:t>
            </w:r>
          </w:p>
          <w:p w14:paraId="024B8EE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(50</w:t>
            </w:r>
            <w:r>
              <w:rPr>
                <w:rFonts w:hint="eastAsia" w:cs="宋体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分</w:t>
            </w: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)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7B5A13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收运服务方案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5788A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对上门收运的方案进行综合评价：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20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方案详尽，明确了固定收运路线、频次（如每日）、时间窗口、对接流程；针对不同类别医疗废物的交接、清点、装车规范有清晰描述；承诺提供备用车辆及人员安排。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15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方案较详尽，明确了主要收运频次、时间及对接流程，对交接装车规范有描述。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方案简单，仅承诺按要求收运，缺乏具体计划和规范描述。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1E4FA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20</w:t>
            </w:r>
          </w:p>
        </w:tc>
        <w:tc>
          <w:tcPr>
            <w:tcW w:w="850" w:type="dxa"/>
            <w:vAlign w:val="center"/>
          </w:tcPr>
          <w:p w14:paraId="1EE192F4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72D50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6D70E51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34CF6DF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运输与处置安全保障方案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AA77A64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对运输过程的安全、环保及最终处置的合规性保障方案进行评价：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方案全面，详细描述了运输车辆的专业配置（防渗漏、GPS、消毒等）、运输路线规划、应急预案、处置工艺流程（焚烧/其他）及环保排放达标保障措施，体现高标准。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方案较全面，涵盖了运输车辆要求、基本应急预案和处置合规承诺。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方案简单，仅作原则性承诺，缺乏具体保障措施描述。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F1CB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4CCD1615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30EF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120A9D9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D20DDC0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应急响应与投诉处理方案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E7C23A">
            <w:pPr>
              <w:widowControl/>
              <w:spacing w:line="360" w:lineRule="auto"/>
              <w:contextualSpacing/>
              <w:jc w:val="left"/>
              <w:rPr>
                <w:rFonts w:cs="Segoe UI" w:asciiTheme="minorEastAsia" w:hAnsiTheme="minorEastAsia"/>
                <w:color w:val="0F1115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对突发事件（如泄漏、无法按时收运等）的应急响应机制及日常投诉处理流程进行评价：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Style w:val="5"/>
                <w:rFonts w:hint="eastAsia"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1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0分）：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应急预案完整、可操作性强，明确了不同级别事件的响应时限（如30分钟内响应，2小时内到场）、处理流程、补救措施和报告机制；投诉处理流程清晰、闭环。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分)：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有基本的应急响应和投诉处理方案，响应时限和处理流程描述较清晰。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方案简单，仅有原则性描述。</w:t>
            </w:r>
          </w:p>
          <w:p w14:paraId="1612FCBF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76DE69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783F56BB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782BA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3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F95CC6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068FFC7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服务文档与协同方案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296C0F">
            <w:pPr>
              <w:widowControl/>
              <w:spacing w:line="360" w:lineRule="auto"/>
              <w:contextualSpacing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对服务过程记录、单据管理与甲方的协同配合方案进行评价：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优（</w:t>
            </w:r>
            <w:r>
              <w:rPr>
                <w:rFonts w:cs="黑体"/>
                <w:color w:val="000000"/>
                <w:spacing w:val="6"/>
                <w:kern w:val="0"/>
              </w:rPr>
              <w:t>10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承诺提供规范、完整的《医疗废物转移联单》及各类工作记录；有明确的单据交接、归档流程；提出有利于双方高效协同的优化建议。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良（</w:t>
            </w:r>
            <w:r>
              <w:rPr>
                <w:rFonts w:cs="黑体"/>
                <w:color w:val="000000"/>
                <w:spacing w:val="6"/>
                <w:kern w:val="0"/>
              </w:rPr>
              <w:t>7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承诺按要求提供单据和记录，有基本的协同配合描述。</w:t>
            </w:r>
            <w:r>
              <w:rPr>
                <w:rFonts w:cs="Segoe UI" w:asciiTheme="minorEastAsia" w:hAnsiTheme="minorEastAsia"/>
                <w:color w:val="0F1115"/>
                <w:szCs w:val="21"/>
              </w:rPr>
              <w:br w:type="textWrapping"/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• 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一般（</w:t>
            </w:r>
            <w:r>
              <w:rPr>
                <w:rFonts w:cs="黑体"/>
                <w:color w:val="000000"/>
                <w:spacing w:val="6"/>
                <w:kern w:val="0"/>
              </w:rPr>
              <w:t>5</w:t>
            </w:r>
            <w:r>
              <w:rPr>
                <w:rStyle w:val="5"/>
                <w:rFonts w:cs="Segoe UI" w:asciiTheme="minorEastAsia" w:hAnsiTheme="minorEastAsia"/>
                <w:b w:val="0"/>
                <w:color w:val="0F1115"/>
                <w:szCs w:val="21"/>
                <w:shd w:val="clear" w:color="auto" w:fill="FFFFFF"/>
              </w:rPr>
              <w:t>分）：</w:t>
            </w:r>
            <w:r>
              <w:rPr>
                <w:rFonts w:cs="Segoe UI" w:asciiTheme="minorEastAsia" w:hAnsiTheme="minorEastAsia"/>
                <w:color w:val="0F1115"/>
                <w:szCs w:val="21"/>
                <w:shd w:val="clear" w:color="auto" w:fill="FFFFFF"/>
              </w:rPr>
              <w:t>仅承诺配合甲方工作，无具体方案。</w:t>
            </w: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232B2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Segoe UI" w:asciiTheme="minorEastAsia" w:hAnsiTheme="minorEastAsia"/>
                <w:bCs/>
                <w:color w:val="0F1115"/>
                <w:kern w:val="0"/>
                <w:szCs w:val="21"/>
                <w:shd w:val="clear" w:color="auto" w:fill="FFFFFF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14:paraId="6F3C523C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黑体" w:asciiTheme="minorEastAsia" w:hAnsiTheme="minorEastAsia"/>
                <w:color w:val="000000"/>
                <w:spacing w:val="6"/>
                <w:kern w:val="0"/>
                <w:szCs w:val="21"/>
              </w:rPr>
              <w:t>主观</w:t>
            </w:r>
          </w:p>
        </w:tc>
      </w:tr>
      <w:tr w14:paraId="5EC9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30" w:type="dxa"/>
            <w:gridSpan w:val="2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4841423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总</w:t>
            </w: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评</w:t>
            </w: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分</w:t>
            </w:r>
          </w:p>
        </w:tc>
        <w:tc>
          <w:tcPr>
            <w:tcW w:w="496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A054A80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2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807C46D">
            <w:pPr>
              <w:widowControl/>
              <w:spacing w:line="360" w:lineRule="auto"/>
              <w:contextualSpacing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Cs/>
                <w:kern w:val="0"/>
                <w:szCs w:val="21"/>
              </w:rPr>
              <w:t>100分</w:t>
            </w:r>
          </w:p>
        </w:tc>
        <w:tc>
          <w:tcPr>
            <w:tcW w:w="850" w:type="dxa"/>
            <w:vAlign w:val="center"/>
          </w:tcPr>
          <w:p w14:paraId="3D075EB7">
            <w:pPr>
              <w:widowControl/>
              <w:spacing w:line="360" w:lineRule="auto"/>
              <w:contextualSpacing/>
              <w:jc w:val="center"/>
              <w:rPr>
                <w:rFonts w:cs="Times New Roman" w:asciiTheme="minorEastAsia" w:hAnsiTheme="minorEastAsia"/>
                <w:kern w:val="0"/>
                <w:szCs w:val="21"/>
              </w:rPr>
            </w:pPr>
          </w:p>
        </w:tc>
      </w:tr>
      <w:bookmarkEnd w:id="2"/>
      <w:bookmarkEnd w:id="3"/>
    </w:tbl>
    <w:p w14:paraId="724740B2">
      <w:pPr>
        <w:spacing w:line="360" w:lineRule="auto"/>
        <w:contextualSpacing/>
        <w:rPr>
          <w:rFonts w:ascii="楷体" w:hAnsi="楷体" w:eastAsia="楷体" w:cs="楷体"/>
          <w:b/>
          <w:bCs/>
          <w:color w:val="000000"/>
          <w:spacing w:val="7"/>
          <w:kern w:val="0"/>
          <w:sz w:val="24"/>
        </w:rPr>
      </w:pPr>
    </w:p>
    <w:p w14:paraId="628B2A9E">
      <w:pPr>
        <w:shd w:val="clear" w:color="auto" w:fill="FFFFFF"/>
        <w:spacing w:before="240" w:after="240" w:line="360" w:lineRule="auto"/>
        <w:contextualSpacing/>
        <w:jc w:val="left"/>
        <w:rPr>
          <w:rFonts w:ascii="宋体" w:cs="Segoe UI"/>
          <w:b/>
          <w:kern w:val="0"/>
          <w:sz w:val="24"/>
          <w:szCs w:val="24"/>
        </w:rPr>
      </w:pPr>
      <w:r>
        <w:rPr>
          <w:rStyle w:val="5"/>
          <w:rFonts w:hint="eastAsia" w:ascii="Segoe UI" w:hAnsi="Segoe UI" w:cs="Segoe UI"/>
          <w:b w:val="0"/>
          <w:bCs w:val="0"/>
          <w:color w:val="0F1115"/>
          <w:sz w:val="24"/>
          <w:szCs w:val="24"/>
          <w:shd w:val="clear" w:color="auto" w:fill="FFFFFF"/>
        </w:rPr>
        <w:t>评审人</w:t>
      </w:r>
      <w:r>
        <w:rPr>
          <w:rFonts w:hint="eastAsia" w:ascii="Segoe UI" w:hAnsi="Segoe UI" w:cs="Segoe UI"/>
          <w:bCs/>
          <w:color w:val="0F1115"/>
          <w:kern w:val="0"/>
          <w:sz w:val="24"/>
          <w:szCs w:val="24"/>
        </w:rPr>
        <w:t>（签字）</w:t>
      </w:r>
      <w:r>
        <w:rPr>
          <w:rFonts w:hint="eastAsia" w:ascii="宋体" w:hAnsi="宋体" w:cs="Segoe UI"/>
          <w:bCs/>
          <w:kern w:val="0"/>
          <w:sz w:val="24"/>
          <w:szCs w:val="24"/>
        </w:rPr>
        <w:t>：</w:t>
      </w:r>
      <w:r>
        <w:rPr>
          <w:rFonts w:ascii="宋体" w:hAnsi="宋体" w:cs="Segoe UI"/>
          <w:b/>
          <w:kern w:val="0"/>
          <w:sz w:val="24"/>
          <w:szCs w:val="24"/>
        </w:rPr>
        <w:t>________</w:t>
      </w:r>
      <w:r>
        <w:rPr>
          <w:rFonts w:ascii="宋体" w:hAnsi="宋体" w:cs="Segoe UI"/>
          <w:b/>
          <w:kern w:val="0"/>
          <w:sz w:val="24"/>
          <w:szCs w:val="24"/>
          <w:u w:val="single"/>
        </w:rPr>
        <w:t xml:space="preserve">        </w:t>
      </w:r>
      <w:r>
        <w:rPr>
          <w:rFonts w:ascii="宋体" w:hAnsi="宋体" w:cs="Segoe UI"/>
          <w:b/>
          <w:kern w:val="0"/>
          <w:sz w:val="24"/>
          <w:szCs w:val="24"/>
        </w:rPr>
        <w:t>_____</w:t>
      </w:r>
      <w:r>
        <w:rPr>
          <w:rStyle w:val="5"/>
          <w:rFonts w:hint="eastAsia" w:ascii="Segoe UI" w:hAnsi="Segoe UI" w:cs="Segoe UI"/>
          <w:b w:val="0"/>
          <w:bCs w:val="0"/>
          <w:color w:val="0F1115"/>
          <w:shd w:val="clear" w:color="auto" w:fill="FFFFFF"/>
        </w:rPr>
        <w:t>评审</w:t>
      </w:r>
      <w:r>
        <w:rPr>
          <w:rFonts w:hint="eastAsia" w:ascii="宋体" w:hAnsi="宋体" w:cs="Segoe UI"/>
          <w:bCs/>
          <w:kern w:val="0"/>
          <w:sz w:val="24"/>
          <w:szCs w:val="24"/>
        </w:rPr>
        <w:t>日期</w:t>
      </w:r>
      <w:r>
        <w:rPr>
          <w:rFonts w:ascii="宋体" w:hAnsi="宋体" w:cs="Segoe UI"/>
          <w:bCs/>
          <w:kern w:val="0"/>
          <w:sz w:val="24"/>
          <w:szCs w:val="24"/>
        </w:rPr>
        <w:t>: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 </w:t>
      </w:r>
      <w:r>
        <w:rPr>
          <w:rFonts w:ascii="宋体" w:hAnsi="宋体" w:cs="Segoe UI"/>
          <w:kern w:val="0"/>
          <w:sz w:val="24"/>
          <w:szCs w:val="24"/>
        </w:rPr>
        <w:t>___</w:t>
      </w:r>
      <w:r>
        <w:rPr>
          <w:rFonts w:hint="eastAsia" w:ascii="宋体" w:hAnsi="宋体" w:cs="Segoe UI"/>
          <w:kern w:val="0"/>
          <w:sz w:val="24"/>
          <w:szCs w:val="24"/>
        </w:rPr>
        <w:t>年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hint="eastAsia" w:ascii="宋体" w:hAnsi="宋体" w:cs="Segoe UI"/>
          <w:kern w:val="0"/>
          <w:sz w:val="24"/>
          <w:szCs w:val="24"/>
        </w:rPr>
        <w:t>月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ascii="宋体" w:hAnsi="宋体" w:cs="Segoe UI"/>
          <w:kern w:val="0"/>
          <w:sz w:val="24"/>
          <w:szCs w:val="24"/>
          <w:u w:val="single"/>
        </w:rPr>
        <w:t xml:space="preserve">   </w:t>
      </w:r>
      <w:r>
        <w:rPr>
          <w:rFonts w:ascii="宋体" w:hAnsi="宋体" w:cs="Segoe UI"/>
          <w:kern w:val="0"/>
          <w:sz w:val="24"/>
          <w:szCs w:val="24"/>
        </w:rPr>
        <w:t>_</w:t>
      </w:r>
      <w:r>
        <w:rPr>
          <w:rFonts w:hint="eastAsia" w:ascii="宋体" w:hAnsi="宋体" w:cs="Segoe UI"/>
          <w:kern w:val="0"/>
          <w:sz w:val="24"/>
          <w:szCs w:val="24"/>
        </w:rPr>
        <w:t>日</w:t>
      </w:r>
    </w:p>
    <w:p w14:paraId="22F1725A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8095D"/>
    <w:rsid w:val="7D0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2025-12-24T01:33:00Z</dcterms:created>
  <dc:creator>Lyn</dc:creator>
  <cp:lastModifiedBy>Lyn</cp:lastModifiedBy>
  <dcterms:modified xsi:type="dcterms:W3CDTF">2025-12-24T01:34:51Z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E4FA9C443FD24E4FA2A7D2A8C25B2C12_11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