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E270F">
      <w:pPr>
        <w:pStyle w:val="3"/>
        <w:jc w:val="both"/>
        <w:rPr>
          <w:rFonts w:hAnsi="宋体" w:cs="宋体"/>
          <w:sz w:val="24"/>
          <w:szCs w:val="24"/>
        </w:rPr>
      </w:pPr>
      <w:bookmarkStart w:id="0" w:name="_Toc30336"/>
      <w:r>
        <w:t>附件六             采购合同格式</w:t>
      </w:r>
      <w:bookmarkEnd w:id="0"/>
      <w:bookmarkStart w:id="1" w:name="_Hlt487972895"/>
      <w:bookmarkEnd w:id="1"/>
    </w:p>
    <w:p w14:paraId="7884DF4E">
      <w:pPr>
        <w:spacing w:line="288" w:lineRule="auto"/>
        <w:rPr>
          <w:rFonts w:ascii="宋体" w:hAnsi="宋体"/>
          <w:sz w:val="22"/>
          <w:szCs w:val="22"/>
        </w:rPr>
      </w:pPr>
      <w:bookmarkStart w:id="2" w:name="_Toc270427198"/>
      <w:bookmarkStart w:id="3" w:name="_Toc219271395"/>
      <w:bookmarkStart w:id="4" w:name="_Toc64911943"/>
      <w:bookmarkStart w:id="5" w:name="_Toc97562004"/>
      <w:bookmarkStart w:id="6" w:name="_Toc164331021"/>
    </w:p>
    <w:bookmarkEnd w:id="2"/>
    <w:bookmarkEnd w:id="3"/>
    <w:bookmarkEnd w:id="4"/>
    <w:bookmarkEnd w:id="5"/>
    <w:bookmarkEnd w:id="6"/>
    <w:p w14:paraId="098D01AD">
      <w:pPr>
        <w:adjustRightInd w:val="0"/>
        <w:snapToGrid w:val="0"/>
        <w:spacing w:line="360" w:lineRule="auto"/>
        <w:rPr>
          <w:rFonts w:ascii="宋体" w:hAnsi="宋体" w:cs="宋体"/>
          <w:sz w:val="24"/>
        </w:rPr>
      </w:pPr>
    </w:p>
    <w:p w14:paraId="7F5DD452">
      <w:pPr>
        <w:adjustRightInd w:val="0"/>
        <w:snapToGrid w:val="0"/>
        <w:spacing w:line="360" w:lineRule="auto"/>
        <w:rPr>
          <w:rFonts w:ascii="宋体" w:hAnsi="宋体" w:cs="宋体"/>
          <w:sz w:val="24"/>
          <w:szCs w:val="24"/>
        </w:rPr>
      </w:pPr>
      <w:r>
        <w:rPr>
          <w:rFonts w:ascii="宋体" w:hAnsi="宋体" w:cs="宋体"/>
          <w:sz w:val="24"/>
          <w:szCs w:val="24"/>
        </w:rPr>
        <w:t>鉴于：</w:t>
      </w:r>
    </w:p>
    <w:p w14:paraId="6F6FB44D">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乙方承诺其是根据中华人民共和国法律依法成立并在本合同期内有效存续的具有合法经营权的独立法人，同时乙方保证其具有合法有效存续的企业资质证书，合同期内具备全部法律法规及有关规定要求的关于对甲方设备（以下简称“设备”）进行维修保养及巡检、更换零配件的国家、北京市政府、行业、协（学）会、企业及有关部门颁发的相关许可资质和批准文件，其保证安排到甲方的工作人员均具有维保本合同项下设备的合法有效资质证书，同时还具备相应的技术和能力，能够胜任该项工作，完全可实现甲方订立本合同目的。</w:t>
      </w:r>
    </w:p>
    <w:p w14:paraId="503C2A97">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2.订立本合同的目的包括（但不限于）甲方委托乙方对本合同项下设备进行维修保养、巡检、更换零配件等服务，保证本合同项下设备能够正常安全稳定高效运行和使用，满足甲方医疗、生产及工作的要求。</w:t>
      </w:r>
    </w:p>
    <w:p w14:paraId="675D8308">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3.乙方保证其提供到甲方的产品和零配件、材料、配料及使用的维修保养工具设施均是具有合法的生产（进口）许可，是由经批准的合法生产（进口）及经营机构生产（进口）经营的合格原装正品，权利和质量无瑕疵，且符合消防、安全、环保、计量、强制认证以及其他要求的相关规定。</w:t>
      </w:r>
    </w:p>
    <w:p w14:paraId="219B0C99">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4.乙方向甲方提供上述其承诺或保证事项的完整的资质许可及批准文件、证件的复印件并加盖乙方主体公章，乙方保证其提供的各种证件和资料全部真实有效，具有合法的经营资质和经营能力及丰富经验，无违法及不良诚信记录，能够实现甲方签订本合同的目的，并严格遵守国家的法律法规、本合同的约定和甲方的要求。</w:t>
      </w:r>
    </w:p>
    <w:p w14:paraId="775E832D">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现甲、乙双方根据《中华人民共和国民法典》及其他有关法律法规的规定，本着公平合理、平等自愿、等价有偿、诚实信用之原则，经友好协商就</w:t>
      </w:r>
      <w:r>
        <w:rPr>
          <w:rFonts w:ascii="仿宋" w:hAnsi="仿宋" w:eastAsia="仿宋"/>
          <w:b/>
          <w:sz w:val="24"/>
          <w:szCs w:val="24"/>
          <w:u w:val="single"/>
        </w:rPr>
        <w:t>首都医科大学附属北京口腔医院王府井部</w:t>
      </w:r>
      <w:r>
        <w:rPr>
          <w:rFonts w:ascii="宋体" w:hAnsi="宋体" w:cs="宋体"/>
          <w:sz w:val="24"/>
          <w:szCs w:val="24"/>
        </w:rPr>
        <w:t>空调机组及分体空调的维修及保养事宜，签订合同条款如下：</w:t>
      </w:r>
    </w:p>
    <w:p w14:paraId="5CF45B98">
      <w:pPr>
        <w:spacing w:line="360" w:lineRule="auto"/>
        <w:rPr>
          <w:rFonts w:ascii="宋体" w:hAnsi="宋体" w:cs="宋体"/>
          <w:b/>
          <w:sz w:val="24"/>
          <w:szCs w:val="24"/>
        </w:rPr>
      </w:pPr>
      <w:r>
        <w:rPr>
          <w:rFonts w:ascii="宋体" w:hAnsi="宋体" w:cs="宋体"/>
          <w:sz w:val="24"/>
          <w:szCs w:val="24"/>
        </w:rPr>
        <w:br w:type="page"/>
      </w:r>
      <w:r>
        <w:rPr>
          <w:rFonts w:ascii="宋体" w:hAnsi="宋体" w:cs="宋体"/>
          <w:b/>
          <w:sz w:val="24"/>
          <w:szCs w:val="24"/>
        </w:rPr>
        <w:t>一、服务项目</w:t>
      </w:r>
    </w:p>
    <w:p w14:paraId="4C0A2411">
      <w:pPr>
        <w:adjustRightInd w:val="0"/>
        <w:snapToGrid w:val="0"/>
        <w:spacing w:line="360" w:lineRule="auto"/>
        <w:ind w:firstLine="480" w:firstLineChars="200"/>
        <w:rPr>
          <w:rFonts w:ascii="宋体" w:hAnsi="宋体" w:cs="宋体"/>
          <w:snapToGrid w:val="0"/>
          <w:kern w:val="0"/>
          <w:sz w:val="24"/>
          <w:szCs w:val="24"/>
        </w:rPr>
      </w:pPr>
      <w:r>
        <w:rPr>
          <w:rFonts w:ascii="宋体" w:hAnsi="宋体" w:cs="宋体"/>
          <w:snapToGrid w:val="0"/>
          <w:kern w:val="0"/>
          <w:sz w:val="24"/>
          <w:szCs w:val="24"/>
        </w:rPr>
        <w:t>保证所保养的空调机组机分体空调能够安全、正常的使用。根据国家标准及机组生产厂家的工艺和规范，定期进行检查、调整、润滑、清洁等项保养工作；提供法定八小时之外的应急维修服务。</w:t>
      </w:r>
    </w:p>
    <w:p w14:paraId="35390FA0">
      <w:pPr>
        <w:adjustRightInd w:val="0"/>
        <w:snapToGrid w:val="0"/>
        <w:spacing w:line="360" w:lineRule="auto"/>
        <w:ind w:firstLine="480" w:firstLineChars="200"/>
        <w:rPr>
          <w:rFonts w:ascii="宋体" w:hAnsi="宋体" w:cs="宋体"/>
          <w:snapToGrid w:val="0"/>
          <w:kern w:val="0"/>
          <w:sz w:val="24"/>
          <w:szCs w:val="24"/>
        </w:rPr>
      </w:pPr>
      <w:r>
        <w:rPr>
          <w:rFonts w:ascii="宋体" w:hAnsi="宋体" w:cs="宋体"/>
          <w:snapToGrid w:val="0"/>
          <w:kern w:val="0"/>
          <w:sz w:val="24"/>
          <w:szCs w:val="24"/>
        </w:rPr>
        <w:t>按照约定的工作要求，乙方须进行机组开机前的保养、检查、清理工作；对机组进行启动柜及润滑系统动力箱检查工作；对机组进行定期检查工作等。</w:t>
      </w:r>
    </w:p>
    <w:p w14:paraId="00BBD6F6">
      <w:pPr>
        <w:adjustRightInd w:val="0"/>
        <w:snapToGrid w:val="0"/>
        <w:spacing w:line="360" w:lineRule="auto"/>
        <w:rPr>
          <w:rFonts w:ascii="宋体" w:hAnsi="宋体" w:cs="宋体"/>
          <w:b/>
          <w:bCs/>
          <w:sz w:val="24"/>
          <w:szCs w:val="24"/>
        </w:rPr>
      </w:pPr>
      <w:r>
        <w:rPr>
          <w:rFonts w:ascii="宋体" w:hAnsi="宋体" w:cs="宋体"/>
          <w:b/>
          <w:bCs/>
          <w:sz w:val="24"/>
          <w:szCs w:val="24"/>
        </w:rPr>
        <w:t>二、合同期限</w:t>
      </w:r>
    </w:p>
    <w:p w14:paraId="3554E694">
      <w:pPr>
        <w:adjustRightInd w:val="0"/>
        <w:snapToGrid w:val="0"/>
        <w:spacing w:line="360" w:lineRule="auto"/>
        <w:ind w:firstLine="480" w:firstLineChars="200"/>
        <w:rPr>
          <w:rFonts w:ascii="宋体" w:hAnsi="宋体" w:cs="宋体"/>
          <w:bCs/>
          <w:sz w:val="24"/>
          <w:szCs w:val="24"/>
        </w:rPr>
      </w:pPr>
      <w:r>
        <w:rPr>
          <w:rFonts w:ascii="宋体" w:hAnsi="宋体" w:cs="宋体"/>
          <w:bCs/>
          <w:sz w:val="24"/>
          <w:szCs w:val="24"/>
        </w:rPr>
        <w:t>本合同期限为   年，自</w:t>
      </w:r>
      <w:r>
        <w:rPr>
          <w:rFonts w:ascii="宋体" w:hAnsi="宋体" w:cs="宋体"/>
          <w:bCs/>
          <w:sz w:val="24"/>
          <w:szCs w:val="24"/>
          <w:u w:val="single"/>
        </w:rPr>
        <w:t xml:space="preserve">  年  月  日 </w:t>
      </w:r>
      <w:r>
        <w:rPr>
          <w:rFonts w:ascii="宋体" w:hAnsi="宋体" w:cs="宋体"/>
          <w:bCs/>
          <w:sz w:val="24"/>
          <w:szCs w:val="24"/>
        </w:rPr>
        <w:t>始至</w:t>
      </w:r>
      <w:r>
        <w:rPr>
          <w:rFonts w:ascii="宋体" w:hAnsi="宋体" w:cs="宋体"/>
          <w:bCs/>
          <w:sz w:val="24"/>
          <w:szCs w:val="24"/>
          <w:u w:val="single"/>
        </w:rPr>
        <w:t xml:space="preserve">  年  月  </w:t>
      </w:r>
      <w:r>
        <w:rPr>
          <w:rFonts w:ascii="宋体" w:hAnsi="宋体" w:cs="宋体"/>
          <w:bCs/>
          <w:sz w:val="24"/>
          <w:szCs w:val="24"/>
        </w:rPr>
        <w:t>日止。</w:t>
      </w:r>
    </w:p>
    <w:p w14:paraId="515329E5">
      <w:pPr>
        <w:spacing w:line="360" w:lineRule="auto"/>
        <w:rPr>
          <w:rFonts w:ascii="宋体" w:hAnsi="宋体" w:cs="宋体"/>
          <w:b/>
          <w:bCs/>
          <w:sz w:val="24"/>
          <w:szCs w:val="24"/>
        </w:rPr>
      </w:pPr>
      <w:r>
        <w:rPr>
          <w:rFonts w:ascii="宋体" w:hAnsi="宋体" w:cs="宋体"/>
          <w:b/>
          <w:bCs/>
          <w:sz w:val="24"/>
          <w:szCs w:val="24"/>
        </w:rPr>
        <w:t>三、维保设备情况</w:t>
      </w:r>
    </w:p>
    <w:p w14:paraId="2EAA7C18">
      <w:pPr>
        <w:spacing w:line="360" w:lineRule="auto"/>
        <w:rPr>
          <w:rFonts w:ascii="宋体" w:hAnsi="宋体" w:cs="宋体"/>
          <w:b/>
          <w:bCs/>
          <w:sz w:val="24"/>
          <w:szCs w:val="24"/>
        </w:rPr>
      </w:pPr>
      <w:r>
        <w:rPr>
          <w:rFonts w:ascii="宋体" w:hAnsi="宋体" w:cs="宋体"/>
          <w:b/>
          <w:bCs/>
          <w:sz w:val="24"/>
          <w:szCs w:val="24"/>
        </w:rPr>
        <w:t>维保设备清单(见招标文件项目概况）</w:t>
      </w:r>
    </w:p>
    <w:p w14:paraId="44176E65">
      <w:pPr>
        <w:adjustRightInd w:val="0"/>
        <w:snapToGrid w:val="0"/>
        <w:spacing w:line="360" w:lineRule="auto"/>
        <w:jc w:val="left"/>
        <w:rPr>
          <w:rFonts w:ascii="宋体" w:hAnsi="宋体" w:cs="宋体"/>
          <w:b/>
          <w:bCs/>
          <w:sz w:val="24"/>
          <w:szCs w:val="24"/>
        </w:rPr>
      </w:pPr>
      <w:r>
        <w:rPr>
          <w:rFonts w:ascii="宋体" w:hAnsi="宋体" w:cs="宋体"/>
          <w:b/>
          <w:bCs/>
          <w:sz w:val="24"/>
          <w:szCs w:val="24"/>
        </w:rPr>
        <w:t>四、合同价款</w:t>
      </w:r>
    </w:p>
    <w:p w14:paraId="25929542">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合同总价款为（人民币）：    元；人民币(大写)：     。</w:t>
      </w:r>
    </w:p>
    <w:p w14:paraId="018AE907">
      <w:pPr>
        <w:spacing w:line="360" w:lineRule="auto"/>
        <w:ind w:firstLine="480" w:firstLineChars="200"/>
        <w:rPr>
          <w:rFonts w:ascii="宋体" w:hAnsi="宋体" w:cs="宋体"/>
          <w:snapToGrid w:val="0"/>
          <w:kern w:val="0"/>
          <w:sz w:val="24"/>
          <w:szCs w:val="24"/>
        </w:rPr>
      </w:pPr>
      <w:r>
        <w:rPr>
          <w:rFonts w:ascii="宋体" w:hAnsi="宋体" w:cs="宋体"/>
          <w:snapToGrid w:val="0"/>
          <w:kern w:val="0"/>
          <w:sz w:val="24"/>
          <w:szCs w:val="24"/>
        </w:rPr>
        <w:t>1.在维保中美的VRV机组发生配件损坏需要更换的配件单价为300元以下配件由乙方支付,单价超过300元（不含300元）的配件由甲方支付,但过滤器除外。</w:t>
      </w:r>
    </w:p>
    <w:p w14:paraId="20A04AE4">
      <w:pPr>
        <w:spacing w:line="360" w:lineRule="auto"/>
        <w:ind w:firstLine="480" w:firstLineChars="200"/>
        <w:rPr>
          <w:rFonts w:ascii="宋体" w:hAnsi="宋体" w:cs="宋体"/>
          <w:snapToGrid w:val="0"/>
          <w:kern w:val="0"/>
          <w:sz w:val="24"/>
          <w:szCs w:val="24"/>
        </w:rPr>
      </w:pPr>
      <w:r>
        <w:rPr>
          <w:rFonts w:ascii="宋体" w:hAnsi="宋体" w:cs="宋体"/>
          <w:snapToGrid w:val="0"/>
          <w:kern w:val="0"/>
          <w:sz w:val="24"/>
          <w:szCs w:val="24"/>
        </w:rPr>
        <w:t>2.KFR分体空调发生配件损坏需要更换的配件单价为50元以下配件费用由乙方支付,单价超过50元（不含50元）的配件费用由甲方支付配件。</w:t>
      </w:r>
    </w:p>
    <w:p w14:paraId="73901195">
      <w:pPr>
        <w:spacing w:line="360" w:lineRule="auto"/>
        <w:ind w:firstLine="480" w:firstLineChars="200"/>
        <w:rPr>
          <w:rFonts w:ascii="宋体" w:hAnsi="宋体" w:cs="宋体"/>
          <w:snapToGrid w:val="0"/>
          <w:kern w:val="0"/>
          <w:sz w:val="24"/>
          <w:szCs w:val="24"/>
        </w:rPr>
      </w:pPr>
      <w:r>
        <w:rPr>
          <w:rFonts w:ascii="宋体" w:hAnsi="宋体" w:cs="宋体"/>
          <w:snapToGrid w:val="0"/>
          <w:kern w:val="0"/>
          <w:sz w:val="24"/>
          <w:szCs w:val="24"/>
        </w:rPr>
        <w:t>3.配件费用的支付:按半年一结算</w:t>
      </w:r>
    </w:p>
    <w:p w14:paraId="4C0EA762">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如果本合同提前终止，不管是何种原因所致，本合同维保费用依据乙方实际提供的符合约定的服务时间按照相应比例计算，即：维保费用=本合同约定的总价款÷合同约定的服务天数×乙方实际提供的符合约定的服务时间。</w:t>
      </w:r>
    </w:p>
    <w:p w14:paraId="2591CFBC">
      <w:pPr>
        <w:adjustRightInd w:val="0"/>
        <w:snapToGrid w:val="0"/>
        <w:spacing w:line="360" w:lineRule="auto"/>
        <w:rPr>
          <w:rFonts w:ascii="宋体" w:hAnsi="宋体" w:cs="宋体"/>
          <w:b/>
          <w:bCs/>
          <w:sz w:val="24"/>
          <w:szCs w:val="24"/>
        </w:rPr>
      </w:pPr>
      <w:r>
        <w:rPr>
          <w:rFonts w:ascii="宋体" w:hAnsi="宋体" w:cs="宋体"/>
          <w:b/>
          <w:bCs/>
          <w:sz w:val="24"/>
          <w:szCs w:val="24"/>
        </w:rPr>
        <w:t>五、合同款的支付与结算</w:t>
      </w:r>
    </w:p>
    <w:p w14:paraId="1A75486A">
      <w:pPr>
        <w:pStyle w:val="6"/>
        <w:adjustRightInd w:val="0"/>
        <w:snapToGrid w:val="0"/>
        <w:ind w:left="0" w:firstLine="480" w:firstLineChars="200"/>
        <w:rPr>
          <w:rFonts w:ascii="宋体" w:hAnsi="宋体" w:cs="宋体"/>
          <w:snapToGrid w:val="0"/>
          <w:kern w:val="0"/>
          <w:szCs w:val="24"/>
        </w:rPr>
      </w:pPr>
      <w:r>
        <w:rPr>
          <w:rFonts w:ascii="宋体" w:hAnsi="宋体" w:cs="宋体"/>
          <w:snapToGrid w:val="0"/>
          <w:kern w:val="0"/>
          <w:szCs w:val="24"/>
        </w:rPr>
        <w:t xml:space="preserve">1.付款方式: </w:t>
      </w:r>
    </w:p>
    <w:p w14:paraId="56A6F5A1">
      <w:pPr>
        <w:pStyle w:val="6"/>
        <w:adjustRightInd w:val="0"/>
        <w:snapToGrid w:val="0"/>
        <w:ind w:left="0" w:firstLine="480" w:firstLineChars="200"/>
        <w:rPr>
          <w:rFonts w:ascii="宋体" w:hAnsi="宋体" w:cs="宋体"/>
          <w:snapToGrid w:val="0"/>
          <w:kern w:val="0"/>
          <w:szCs w:val="24"/>
        </w:rPr>
      </w:pPr>
      <w:r>
        <w:rPr>
          <w:rFonts w:ascii="宋体" w:hAnsi="宋体" w:cs="宋体"/>
          <w:kern w:val="0"/>
          <w:szCs w:val="24"/>
        </w:rPr>
        <w:t>（1）合同签订之日起甲方分四次向乙方支付空调维保费，支付时间为每季度结束后的15日内（经甲方书面确认维保合乎要求）， 每次付款金额</w:t>
      </w:r>
      <w:r>
        <w:rPr>
          <w:rFonts w:ascii="宋体" w:hAnsi="宋体" w:cs="宋体"/>
          <w:kern w:val="0"/>
          <w:szCs w:val="24"/>
          <w:u w:val="single"/>
        </w:rPr>
        <w:t>为        元，大写:       。</w:t>
      </w:r>
    </w:p>
    <w:p w14:paraId="113FB39C">
      <w:pPr>
        <w:pStyle w:val="6"/>
        <w:adjustRightInd w:val="0"/>
        <w:snapToGrid w:val="0"/>
        <w:ind w:left="0" w:firstLine="480" w:firstLineChars="200"/>
        <w:rPr>
          <w:rFonts w:ascii="宋体" w:hAnsi="宋体" w:cs="宋体"/>
          <w:snapToGrid w:val="0"/>
          <w:kern w:val="0"/>
          <w:szCs w:val="24"/>
        </w:rPr>
      </w:pPr>
      <w:r>
        <w:rPr>
          <w:rFonts w:ascii="宋体" w:hAnsi="宋体" w:cs="宋体"/>
          <w:snapToGrid w:val="0"/>
          <w:kern w:val="0"/>
          <w:szCs w:val="24"/>
        </w:rPr>
        <w:t>（2）机组空调单价300元以下配件费用由乙方支付，300元以上由甲方承担；分体空调单价50元以下配件费用由乙方支付，50元以上由甲方承担。</w:t>
      </w:r>
    </w:p>
    <w:p w14:paraId="0F212722">
      <w:pPr>
        <w:pStyle w:val="6"/>
        <w:adjustRightInd w:val="0"/>
        <w:snapToGrid w:val="0"/>
        <w:ind w:left="0" w:firstLine="480" w:firstLineChars="200"/>
        <w:rPr>
          <w:rFonts w:ascii="宋体" w:hAnsi="宋体" w:cs="宋体"/>
          <w:snapToGrid w:val="0"/>
          <w:kern w:val="0"/>
          <w:szCs w:val="24"/>
        </w:rPr>
      </w:pPr>
      <w:r>
        <w:rPr>
          <w:rFonts w:ascii="宋体" w:hAnsi="宋体" w:cs="宋体"/>
          <w:snapToGrid w:val="0"/>
          <w:kern w:val="0"/>
          <w:szCs w:val="24"/>
        </w:rPr>
        <w:t>（3）配件费的支付:按每半年支付一次已经发生并甲方确认的的配件费用。</w:t>
      </w:r>
    </w:p>
    <w:p w14:paraId="0CDFEFF1">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2.发票及抵扣：上述款项以转账或支票方式支付；乙方应在甲方每次付款日的7 个工作日前向甲方提供等额且符合国家规定的正式真实的税务发票，但乙方开具并提供税务发票及甲方接收、入账、抵扣和付款等情况均不能作为证明甲方应付款项数额及乙方提供的维修、保养、巡检以及更换零配件等服务质量和零配件等产品质量合格的依据，甲方应付款项及乙方提供的维修、保养、巡检以及更换零配件等服务和零配件等产品是否存在质量问题和乙方是否存在违约应当依据乙方的实际履行情况据实计算和认定。</w:t>
      </w:r>
    </w:p>
    <w:p w14:paraId="094DAC21">
      <w:pPr>
        <w:adjustRightInd w:val="0"/>
        <w:snapToGrid w:val="0"/>
        <w:spacing w:line="360" w:lineRule="auto"/>
        <w:ind w:firstLine="480" w:firstLineChars="200"/>
        <w:rPr>
          <w:rFonts w:ascii="宋体" w:hAnsi="宋体" w:cs="宋体"/>
          <w:sz w:val="24"/>
          <w:szCs w:val="24"/>
        </w:rPr>
      </w:pPr>
      <w:r>
        <w:rPr>
          <w:rFonts w:ascii="宋体" w:hAnsi="宋体" w:cs="宋体"/>
          <w:bCs/>
          <w:sz w:val="24"/>
          <w:szCs w:val="24"/>
        </w:rPr>
        <w:t>3.</w:t>
      </w:r>
      <w:r>
        <w:rPr>
          <w:rFonts w:ascii="宋体" w:hAnsi="宋体" w:cs="宋体"/>
          <w:sz w:val="24"/>
          <w:szCs w:val="24"/>
        </w:rPr>
        <w:t>抗辩、款项抵销：如果乙方提供的维修、保养、巡检以及更换零配件等服务及零配件等产品的质量和各种权利存在瑕疵，履行合同不符合合同约定及甲方要求，或乙方存在违约，或乙方的陈述及承诺、保证不真实或虚假或有隐瞒，或乙方因履行本合同侵犯了甲方权利，或合同期满乙方不撤场，或乙方泄露甲方的相关资料信息等致使无法运行的，或乙方未及时开具相应的国家正式税务发票，或乙方因该项目维保施工侵犯他人人身及财产、知识产权等权益、与他人有纠纷致甲方受到牵连等，甲方有权暂缓支付维保费用等合同款，待乙方纠正违约行为、纠纷处理完毕并按约履行相应合同义务后，再根据乙方实际履行情况支付相应维保费用等合同款。同时，如乙方应支付甲方违约金、赔偿金以及其他款项，则甲方有权直接从应付乙方的维保费用等合同款中直接扣除予以抵销，此时乙方仍应按照抵扣前的金额向甲方提供发票，而且在乙方未向甲方支付完其应支付的违约金、赔偿金以及其他款项前，不得要求甲方支付本合同的维保费用等合同款。</w:t>
      </w:r>
    </w:p>
    <w:p w14:paraId="57187175">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4.如乙方因拒不执行生效判决或其他生效法律文书，被法院等司法机构依法强制执行，如果执行法院基于本合同要求甲方协助执行、或直接向执行申请人等第三人履行、或向执行法院直接支付等，那么甲方有权协助法院执行、或直接向司法机构依法指定的第三人履行、或直接将相应的合同款支付给执行法院，此时视为甲方按约已向乙方履行了相应合同款的支付义务且乙方应向甲方开具相应款项数额的发票，但相应的费用不再支付给乙方，甲方对此也不承担任何责任。对于与司法机构强制执行相关的各种事项，乙方均不得以任何事由向甲方提出任何要求以及追究任何责任，如对强制执行事项有异议或者认为强制执行错误等，乙方应向执行法院以及执行申请人另行主张而不得向甲方主张。如果甲方因协助该强制执行事宜而被执行法院进行处罚以及产生其他相关损失，那么无论甲方是否有过错，相关费用及损失均由乙方承担和赔偿，并且甲方可以直接从应向乙方支付的款项中直接扣除。</w:t>
      </w:r>
    </w:p>
    <w:p w14:paraId="64335563">
      <w:pPr>
        <w:adjustRightInd w:val="0"/>
        <w:snapToGrid w:val="0"/>
        <w:spacing w:line="360" w:lineRule="auto"/>
        <w:ind w:firstLine="480"/>
        <w:jc w:val="left"/>
        <w:rPr>
          <w:rFonts w:ascii="宋体" w:hAnsi="宋体" w:cs="宋体"/>
          <w:b/>
          <w:bCs/>
          <w:sz w:val="24"/>
          <w:szCs w:val="24"/>
        </w:rPr>
      </w:pPr>
      <w:r>
        <w:rPr>
          <w:rFonts w:ascii="宋体" w:hAnsi="宋体" w:cs="宋体"/>
          <w:b/>
          <w:bCs/>
          <w:sz w:val="24"/>
          <w:szCs w:val="24"/>
        </w:rPr>
        <w:t>六、甲方权利义务</w:t>
      </w:r>
    </w:p>
    <w:p w14:paraId="4732505B">
      <w:pPr>
        <w:tabs>
          <w:tab w:val="left" w:pos="675"/>
        </w:tabs>
        <w:adjustRightInd w:val="0"/>
        <w:snapToGrid w:val="0"/>
        <w:spacing w:line="360" w:lineRule="auto"/>
        <w:ind w:firstLine="480" w:firstLineChars="200"/>
        <w:rPr>
          <w:rFonts w:ascii="宋体" w:hAnsi="宋体" w:cs="宋体"/>
          <w:sz w:val="24"/>
          <w:szCs w:val="24"/>
        </w:rPr>
      </w:pPr>
      <w:r>
        <w:rPr>
          <w:rFonts w:ascii="宋体" w:hAnsi="宋体" w:cs="宋体"/>
          <w:sz w:val="24"/>
          <w:szCs w:val="24"/>
        </w:rPr>
        <w:t>1.甲方负责为乙方提供正常维修保养工作所需要的合理的基本条件：包括供水、供电以及照明等基本条件，同时为乙方维护人员出入提供方便。对此，乙方应在本合同签订后1日内以书面形式一次性向甲方提交维修保养工作的基本条件并交付甲方，上述基本条件必须是甲方正常情况下可提供的，否则甲方可不予提供同时乙方还应继续履行本合同。</w:t>
      </w:r>
    </w:p>
    <w:p w14:paraId="25458FBD">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2.甲方为乙方提供放置工具和相关材料的场所，并协助乙方做好对本合同项下设备及相关工具和材料的安全管理工作，但乙方对设备及相关工具和材料的灭失、丢失和毁损风险负责，甲方不承担责任。</w:t>
      </w:r>
    </w:p>
    <w:p w14:paraId="467ABEE5">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3.甲方须根据乙方维修人员提出的合理要求，采取安全防范措施。</w:t>
      </w:r>
    </w:p>
    <w:p w14:paraId="0D2C8D5F">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4.甲方有权随时（在本合同期限内）监督、检查乙方维修保养等工作的工作质量、进度、方法、安全、记录等是否达到合同的约定及乙方的承诺，并有权对乙方的工作提出建议并要求乙方纠正不当行为或对不合格项目进行返工。</w:t>
      </w:r>
    </w:p>
    <w:p w14:paraId="7BBAA0AB">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5.甲方有权随时检查乙方的工作状态和记录，听取乙方对维保工作的汇报，有权提出检查过程中发现的问题，限令日期要求乙方整改，并提出建议。</w:t>
      </w:r>
    </w:p>
    <w:p w14:paraId="22EEA780">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6.乙方因失职、违章、违纪、违约、违法等给甲方造成损失时，甲方有权因此停付、抵扣相应的合同款，并有权向有关部门要求追究其法律责任。</w:t>
      </w:r>
    </w:p>
    <w:p w14:paraId="15C0F9DC">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7.甲方有权提出、制止、纠正乙方现场维修、保养、巡检等人员在工作中出现的不符合甲方管理规范要求或有损甲方荣誉的言行、举止，并可根据本合同约定要求乙方支付相应的违约金。</w:t>
      </w:r>
    </w:p>
    <w:p w14:paraId="0027ACED">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8.甲方有权要求乙方保证设备的正常安全稳定高效运行。乙方维修维护保养达不到合同约定的维修维护保养标准或要求的，甲方有权要求乙方返工，且有权拒绝在维护保养记录上签字并要求乙方承担违约责任。</w:t>
      </w:r>
    </w:p>
    <w:p w14:paraId="044616EF">
      <w:pPr>
        <w:adjustRightInd w:val="0"/>
        <w:snapToGrid w:val="0"/>
        <w:spacing w:line="360" w:lineRule="auto"/>
        <w:ind w:left="456" w:leftChars="217"/>
        <w:rPr>
          <w:rFonts w:ascii="宋体" w:hAnsi="宋体" w:cs="宋体"/>
          <w:sz w:val="24"/>
          <w:szCs w:val="24"/>
        </w:rPr>
      </w:pPr>
      <w:r>
        <w:rPr>
          <w:rFonts w:ascii="宋体" w:hAnsi="宋体" w:cs="宋体"/>
          <w:sz w:val="24"/>
          <w:szCs w:val="24"/>
        </w:rPr>
        <w:t>9.甲方应按约定支付维保费给乙方。</w:t>
      </w:r>
    </w:p>
    <w:p w14:paraId="59B01A2B">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10.甲方提供或协助办理乙方维修保养人员进出甲方维修场所的门禁卡，如果涉及费用事宜全部由乙方负责；同时甲方提供供乙方驻场维修人员办公和休息场所，甲方提供的办公和休息场所位于医院病房楼五层电梯机房隔壁房间。</w:t>
      </w:r>
    </w:p>
    <w:p w14:paraId="3759C8C9">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11.维保期内以及维保期后甲方继续委托乙方维保设备的，如乙方更换了相关的零配件，那么该更换后的零配件另行计算维保期，维保期为  年，自该零配件更换并经甲方验收通过之日起计算，但是如果该零配件产品厂家承诺的三包及维保期超过该双方约定的维保期，则以该配件产品厂家承诺的三包及维保期为准。</w:t>
      </w:r>
    </w:p>
    <w:p w14:paraId="313D6BF7">
      <w:pPr>
        <w:adjustRightInd w:val="0"/>
        <w:snapToGrid w:val="0"/>
        <w:spacing w:line="360" w:lineRule="auto"/>
        <w:ind w:left="456" w:leftChars="217"/>
        <w:rPr>
          <w:rFonts w:ascii="宋体" w:hAnsi="宋体" w:cs="宋体"/>
          <w:b/>
          <w:sz w:val="24"/>
          <w:szCs w:val="24"/>
        </w:rPr>
      </w:pPr>
      <w:r>
        <w:rPr>
          <w:rFonts w:ascii="宋体" w:hAnsi="宋体" w:cs="宋体"/>
          <w:b/>
          <w:sz w:val="24"/>
          <w:szCs w:val="24"/>
        </w:rPr>
        <w:t>七、乙方权利义务</w:t>
      </w:r>
    </w:p>
    <w:p w14:paraId="145B573E">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1.乙方应在</w:t>
      </w:r>
      <w:r>
        <w:rPr>
          <w:rFonts w:ascii="宋体" w:hAnsi="宋体" w:cs="宋体"/>
          <w:sz w:val="24"/>
          <w:szCs w:val="24"/>
          <w:u w:val="single"/>
        </w:rPr>
        <w:t xml:space="preserve">    年   月   日</w:t>
      </w:r>
      <w:r>
        <w:rPr>
          <w:rFonts w:ascii="宋体" w:hAnsi="宋体" w:cs="宋体"/>
          <w:sz w:val="24"/>
          <w:szCs w:val="24"/>
        </w:rPr>
        <w:t>起进场并为甲方提供日常维修保养巡检等服务，并严格履行合同约定的各项责任及义务，做到诚信服务；乙方对本合同项下与有关的所有设备及事项提供全部的维修、保养、巡检以及更换零配件等服务，</w:t>
      </w:r>
      <w:r>
        <w:rPr>
          <w:rFonts w:ascii="宋体" w:hAnsi="宋体" w:cs="宋体"/>
          <w:snapToGrid w:val="0"/>
          <w:kern w:val="0"/>
          <w:sz w:val="24"/>
          <w:szCs w:val="24"/>
        </w:rPr>
        <w:t>机组空调单价300元以下配件费用由乙方支付，300元以上由甲方承担；分体空调单价50元以下配件费用由乙方支付，50元以上由甲方承担，</w:t>
      </w:r>
      <w:r>
        <w:rPr>
          <w:rFonts w:ascii="宋体" w:hAnsi="宋体" w:cs="宋体"/>
          <w:sz w:val="24"/>
          <w:szCs w:val="24"/>
        </w:rPr>
        <w:t>其他维修、保养、巡检、零配件及其更换等一切服务和产品费用均由乙方承担。甲方</w:t>
      </w:r>
      <w:r>
        <w:rPr>
          <w:rFonts w:ascii="宋体" w:hAnsi="宋体" w:cs="宋体"/>
          <w:snapToGrid w:val="0"/>
          <w:kern w:val="0"/>
          <w:sz w:val="24"/>
          <w:szCs w:val="24"/>
        </w:rPr>
        <w:t>按每半年支付一次已经发生并确认的的配件费用。</w:t>
      </w:r>
      <w:r>
        <w:rPr>
          <w:rFonts w:ascii="宋体" w:hAnsi="宋体" w:cs="宋体"/>
          <w:sz w:val="24"/>
          <w:szCs w:val="24"/>
        </w:rPr>
        <w:t>对此，乙方应在甲方每次付款日的7个工作日前向甲方提供等额且符合国家规定的正式税务发票。</w:t>
      </w:r>
    </w:p>
    <w:p w14:paraId="24213D72">
      <w:pPr>
        <w:adjustRightInd w:val="0"/>
        <w:snapToGrid w:val="0"/>
        <w:spacing w:line="360" w:lineRule="auto"/>
        <w:ind w:firstLine="480" w:firstLineChars="200"/>
        <w:rPr>
          <w:rFonts w:ascii="宋体" w:hAnsi="宋体" w:cs="宋体"/>
          <w:bCs/>
          <w:sz w:val="24"/>
          <w:szCs w:val="24"/>
        </w:rPr>
      </w:pPr>
      <w:r>
        <w:rPr>
          <w:rFonts w:ascii="宋体" w:hAnsi="宋体" w:cs="宋体"/>
          <w:sz w:val="24"/>
          <w:szCs w:val="24"/>
        </w:rPr>
        <w:t>2.乙方应制定《维护保养计划表》 ，交由甲方认可后，在合同履行期间对本合同项下设备定期按计划进行周期性维护保养，每次周期性维护保养后填写《维护检查表》并交付甲方。乙方在维护保养后必须确保甲方</w:t>
      </w:r>
      <w:r>
        <w:rPr>
          <w:rFonts w:ascii="宋体" w:hAnsi="宋体" w:cs="宋体"/>
          <w:bCs/>
          <w:sz w:val="24"/>
          <w:szCs w:val="24"/>
        </w:rPr>
        <w:t>设备能够安全正常稳定高效运行，延长设备使用寿命，以达到甲方签订本合同的目的。</w:t>
      </w:r>
    </w:p>
    <w:p w14:paraId="16C4231B">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3.乙方委派</w:t>
      </w:r>
      <w:r>
        <w:rPr>
          <w:rFonts w:ascii="宋体" w:hAnsi="宋体" w:cs="宋体"/>
          <w:bCs/>
          <w:color w:val="0F1115"/>
          <w:sz w:val="24"/>
          <w:szCs w:val="24"/>
          <w:u w:val="single"/>
          <w:shd w:val="clear" w:color="auto" w:fill="FFFFFF"/>
        </w:rPr>
        <w:t>3</w:t>
      </w:r>
      <w:r>
        <w:rPr>
          <w:rFonts w:ascii="宋体" w:hAnsi="宋体" w:cs="宋体"/>
          <w:bCs/>
          <w:sz w:val="24"/>
          <w:szCs w:val="24"/>
        </w:rPr>
        <w:t>名专职维修工程师，该人员应具有</w:t>
      </w:r>
      <w:r>
        <w:rPr>
          <w:rFonts w:ascii="宋体" w:hAnsi="宋体" w:cs="宋体"/>
          <w:bCs/>
          <w:sz w:val="24"/>
          <w:szCs w:val="24"/>
          <w:u w:val="single"/>
        </w:rPr>
        <w:t>3</w:t>
      </w:r>
      <w:r>
        <w:rPr>
          <w:rFonts w:ascii="宋体" w:hAnsi="宋体" w:cs="宋体"/>
          <w:sz w:val="24"/>
          <w:szCs w:val="24"/>
        </w:rPr>
        <w:t>年以上工作经验，负责设备的日常维修维护保养工作，同时维修人员为甲方提供7天/周×24小时/天全天候维保服务。合同期内维修人员一经确定不得随意更换和调整，确需调整时，必须经甲方书面同意和许可，并提前一个月书面报告甲方。</w:t>
      </w:r>
    </w:p>
    <w:p w14:paraId="5E2178C8">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维修工程师，身份证号：        联系方式：    ；专业证书编号：    。</w:t>
      </w:r>
    </w:p>
    <w:p w14:paraId="5FD17606">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4.乙方应派出技术人员不少于</w:t>
      </w:r>
      <w:r>
        <w:rPr>
          <w:rFonts w:hint="default" w:ascii="宋体" w:hAnsi="宋体" w:cs="宋体"/>
          <w:bCs/>
          <w:sz w:val="24"/>
          <w:szCs w:val="24"/>
          <w:u w:val="single"/>
        </w:rPr>
        <w:t>3</w:t>
      </w:r>
      <w:r>
        <w:rPr>
          <w:rFonts w:ascii="宋体" w:hAnsi="宋体" w:cs="宋体"/>
          <w:bCs/>
          <w:sz w:val="24"/>
          <w:szCs w:val="24"/>
        </w:rPr>
        <w:t>人，每</w:t>
      </w:r>
      <w:r>
        <w:rPr>
          <w:rFonts w:ascii="宋体" w:hAnsi="宋体" w:cs="宋体"/>
          <w:bCs/>
          <w:sz w:val="24"/>
          <w:szCs w:val="24"/>
          <w:u w:val="single"/>
        </w:rPr>
        <w:t>3</w:t>
      </w:r>
      <w:r>
        <w:rPr>
          <w:rFonts w:ascii="宋体" w:hAnsi="宋体" w:cs="宋体"/>
          <w:bCs/>
          <w:sz w:val="24"/>
          <w:szCs w:val="24"/>
        </w:rPr>
        <w:t>个月定期对甲方设备进行全面巡检，具体的巡检时间为每一季度的第一个自然周（如遇法定节假日可往后顺延），如发现问题应立即予以解决，以保证甲方设备的安全稳定高效运行和使用，每次巡检完毕后</w:t>
      </w:r>
      <w:r>
        <w:rPr>
          <w:rFonts w:ascii="宋体" w:hAnsi="宋体" w:cs="宋体"/>
          <w:bCs/>
          <w:sz w:val="24"/>
          <w:szCs w:val="24"/>
          <w:u w:val="single"/>
        </w:rPr>
        <w:t>7</w:t>
      </w:r>
      <w:r>
        <w:rPr>
          <w:rFonts w:ascii="宋体" w:hAnsi="宋体" w:cs="宋体"/>
          <w:sz w:val="24"/>
          <w:szCs w:val="24"/>
        </w:rPr>
        <w:t>日内出具《巡检报告》并交付甲方，乙方巡检后必须保证设备能够正常安全稳定高效运行。</w:t>
      </w:r>
    </w:p>
    <w:p w14:paraId="703F158D">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5.乙方维保人员进入甲方现场进行维修、保养、巡检以及更换零配件等作业时，必须穿着有乙方公司标志的工服并做到衣冠整洁、规范统一。</w:t>
      </w:r>
    </w:p>
    <w:p w14:paraId="7258C61D">
      <w:pPr>
        <w:spacing w:line="360" w:lineRule="auto"/>
        <w:ind w:firstLine="480" w:firstLineChars="200"/>
        <w:rPr>
          <w:rFonts w:ascii="宋体" w:hAnsi="宋体" w:cs="宋体"/>
          <w:sz w:val="24"/>
          <w:szCs w:val="24"/>
        </w:rPr>
      </w:pPr>
      <w:r>
        <w:rPr>
          <w:rFonts w:ascii="宋体" w:hAnsi="宋体" w:cs="宋体"/>
          <w:sz w:val="24"/>
          <w:szCs w:val="24"/>
        </w:rPr>
        <w:t>6.甲方要求乙方提供超越本合同所列的服务项目及有偿服务前，乙方应及时以书面的形式告知甲方，并经甲方书面同意后方可实施，所有支出的合理费用应由甲方承担。如超越本合同所列的服务项目所涉及的费用较大（超过</w:t>
      </w:r>
      <w:r>
        <w:rPr>
          <w:rFonts w:ascii="宋体" w:hAnsi="宋体" w:cs="宋体"/>
          <w:bCs/>
          <w:sz w:val="24"/>
          <w:szCs w:val="24"/>
        </w:rPr>
        <w:t>3000</w:t>
      </w:r>
      <w:r>
        <w:rPr>
          <w:rFonts w:ascii="宋体" w:hAnsi="宋体" w:cs="宋体"/>
          <w:sz w:val="24"/>
          <w:szCs w:val="24"/>
        </w:rPr>
        <w:t>元）时，双方还需另行签订补充协议，并由双方法定代表人或授权代表签字并加盖主体公章后方可生效。</w:t>
      </w:r>
    </w:p>
    <w:p w14:paraId="798C6F0A">
      <w:pPr>
        <w:spacing w:line="360" w:lineRule="auto"/>
        <w:ind w:firstLine="480" w:firstLineChars="200"/>
        <w:rPr>
          <w:rFonts w:ascii="宋体" w:hAnsi="宋体" w:cs="宋体"/>
          <w:sz w:val="24"/>
          <w:szCs w:val="24"/>
        </w:rPr>
      </w:pPr>
      <w:r>
        <w:rPr>
          <w:rFonts w:ascii="宋体" w:hAnsi="宋体" w:cs="宋体"/>
          <w:sz w:val="24"/>
          <w:szCs w:val="24"/>
        </w:rPr>
        <w:t>7.乙方人员遵守甲方各项管理规范和规章制度，服从甲方的管理。</w:t>
      </w:r>
    </w:p>
    <w:p w14:paraId="22F884BC">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8.乙方负责其委派到甲方的维修人员的劳保用品、安全防护设备、设施的配置及相关费用；</w:t>
      </w:r>
    </w:p>
    <w:p w14:paraId="410231CC">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9.乙方负责其维修人员的人身意外伤害等各项保险的认定手续及相关费用的赔偿；若乙方委派到甲方的维修人员在甲方发生人身财产损害或者侵犯第三人及甲方相关人员的人身财产等情况的，相关责任及费用全部由乙方承担，与甲方无关；</w:t>
      </w:r>
    </w:p>
    <w:p w14:paraId="23C46CC9">
      <w:pPr>
        <w:pStyle w:val="4"/>
        <w:spacing w:line="360" w:lineRule="auto"/>
        <w:ind w:firstLine="480" w:firstLineChars="200"/>
        <w:jc w:val="left"/>
        <w:outlineLvl w:val="0"/>
        <w:rPr>
          <w:rFonts w:ascii="宋体" w:hAnsi="宋体" w:cs="宋体"/>
          <w:sz w:val="24"/>
          <w:szCs w:val="24"/>
        </w:rPr>
      </w:pPr>
      <w:r>
        <w:rPr>
          <w:rFonts w:ascii="宋体" w:hAnsi="宋体" w:cs="宋体"/>
          <w:sz w:val="24"/>
          <w:szCs w:val="24"/>
        </w:rPr>
        <w:t>10.在接到报修后，乙方在接到甲方的故障报修通知后，</w:t>
      </w:r>
      <w:r>
        <w:rPr>
          <w:rFonts w:ascii="宋体" w:hAnsi="宋体" w:cs="宋体"/>
          <w:color w:val="0F1115"/>
          <w:sz w:val="24"/>
          <w:szCs w:val="24"/>
          <w:shd w:val="clear" w:color="auto" w:fill="FFFFFF"/>
        </w:rPr>
        <w:t>须在</w:t>
      </w:r>
      <w:r>
        <w:rPr>
          <w:rStyle w:val="9"/>
          <w:rFonts w:hint="eastAsia" w:ascii="宋体" w:hAnsi="宋体" w:cs="宋体"/>
          <w:b w:val="0"/>
          <w:color w:val="0F1115"/>
          <w:szCs w:val="24"/>
          <w:shd w:val="clear" w:color="auto" w:fill="FFFFFF"/>
        </w:rPr>
        <w:t>30分钟内</w:t>
      </w:r>
      <w:r>
        <w:rPr>
          <w:rFonts w:ascii="宋体" w:hAnsi="宋体" w:cs="宋体"/>
          <w:color w:val="0F1115"/>
          <w:sz w:val="24"/>
          <w:szCs w:val="24"/>
          <w:shd w:val="clear" w:color="auto" w:fill="FFFFFF"/>
        </w:rPr>
        <w:t>电话响应，</w:t>
      </w:r>
      <w:r>
        <w:rPr>
          <w:rStyle w:val="9"/>
          <w:rFonts w:hint="eastAsia" w:ascii="宋体" w:hAnsi="宋体" w:cs="宋体"/>
          <w:b w:val="0"/>
          <w:color w:val="0F1115"/>
          <w:szCs w:val="24"/>
          <w:shd w:val="clear" w:color="auto" w:fill="FFFFFF"/>
        </w:rPr>
        <w:t>2小时内</w:t>
      </w:r>
      <w:r>
        <w:rPr>
          <w:rFonts w:ascii="宋体" w:hAnsi="宋体" w:cs="宋体"/>
          <w:color w:val="0F1115"/>
          <w:sz w:val="24"/>
          <w:szCs w:val="24"/>
          <w:shd w:val="clear" w:color="auto" w:fill="FFFFFF"/>
        </w:rPr>
        <w:t>派遣技术人员到达现场，</w:t>
      </w:r>
      <w:r>
        <w:rPr>
          <w:rStyle w:val="9"/>
          <w:rFonts w:hint="eastAsia" w:ascii="宋体" w:hAnsi="宋体" w:cs="宋体"/>
          <w:b w:val="0"/>
          <w:color w:val="0F1115"/>
          <w:szCs w:val="24"/>
          <w:shd w:val="clear" w:color="auto" w:fill="FFFFFF"/>
        </w:rPr>
        <w:t>4小时内</w:t>
      </w:r>
      <w:r>
        <w:rPr>
          <w:rFonts w:ascii="宋体" w:hAnsi="宋体" w:cs="宋体"/>
          <w:color w:val="0F1115"/>
          <w:sz w:val="24"/>
          <w:szCs w:val="24"/>
          <w:shd w:val="clear" w:color="auto" w:fill="FFFFFF"/>
        </w:rPr>
        <w:t>解决一般性故障，恢复设备基本运行。</w:t>
      </w:r>
      <w:r>
        <w:rPr>
          <w:rFonts w:ascii="宋体" w:hAnsi="宋体" w:cs="宋体"/>
          <w:sz w:val="24"/>
          <w:szCs w:val="24"/>
        </w:rPr>
        <w:t>乙方应负责其维修设备场所的清理卫生工作，必须保证工完场清。</w:t>
      </w:r>
    </w:p>
    <w:p w14:paraId="446649CD">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11.乙方应按照及相关设备维保技术要求，制定《检查记录表》、《维修服务报告单》、《服务满意度调查表》等相关规章制度及文件资料，科学合理地做好各项维保、检修、保养、巡检、隐患排查等工作。</w:t>
      </w:r>
    </w:p>
    <w:p w14:paraId="3AA24EBE">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12.乙方保证其向甲方提供的所有零配件质量全部均符合国家、北京市地方、产地、行业、协（学）会、企业的强制性和非强制性标准、推荐性标准、产品正常使用性能和甲方要求，如属于国家强制认证产品必须通过国家的强制认证并取得强制认证证书，若属于计量产品则还应取得相应的检测报告和批准文件。同时乙方保证其向甲方提供的零配件均为原厂生产原包装的全新正版产品，完全能够与甲方现有的设备相适配、相兼容。上述质量标准不一致的，以质量要求高的标准为准。另外，乙方提供的所有零配件均不侵犯任何第三方的专利权、商标权等知识产权及其他权益，否则乙方应向甲方承担违约责任。</w:t>
      </w:r>
    </w:p>
    <w:p w14:paraId="6D81CA28">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13.乙方承诺其按照国家及北京市的相关标准和要求的操作规程对本合同项下设备进行维修、保养、巡检以及更换零配件等服务，保证其服务不会导致设备的其他损坏，也不损坏其他设备设施，不影响设备的正常性能和使用，实现甲方签订本合同的目的。</w:t>
      </w:r>
    </w:p>
    <w:p w14:paraId="31697EB2">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14.经乙方对甲方设备提供维修、保养、巡检以及更换零配件等服务后必须保证上述设备达到正常安全稳定高效能运行和使用，装配及安装牢靠，达到国家及北京市、行业、协（学）会、企业相关规定的强制性标准、非强制性标准、推荐性标准和通常使用标准，服务质量达到国家、北京市、企业、行业协（学）会、企业的强制性和非强制性标准和甲方要求，实现甲方签订本合同的目的，上述质量标准不一致的，以质量要求高的标准为准。如果维保的设备需经甲方上级部门的检查，那么乙方还需保证能通过甲方上级部门的检查。</w:t>
      </w:r>
    </w:p>
    <w:p w14:paraId="4E663E07">
      <w:pPr>
        <w:adjustRightInd w:val="0"/>
        <w:snapToGrid w:val="0"/>
        <w:spacing w:line="360" w:lineRule="auto"/>
        <w:ind w:firstLine="482" w:firstLineChars="200"/>
        <w:rPr>
          <w:rFonts w:ascii="宋体" w:hAnsi="宋体" w:cs="宋体"/>
          <w:b/>
          <w:sz w:val="24"/>
          <w:szCs w:val="24"/>
        </w:rPr>
      </w:pPr>
      <w:r>
        <w:rPr>
          <w:rFonts w:ascii="宋体" w:hAnsi="宋体" w:cs="宋体"/>
          <w:b/>
          <w:sz w:val="24"/>
          <w:szCs w:val="24"/>
        </w:rPr>
        <w:t>八、违约责任</w:t>
      </w:r>
    </w:p>
    <w:p w14:paraId="49496FD7">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本合同有效期内，任何一方均不得无故解除本合同，如果任何一方提出终止合同，必须提前一个月以书面形式通知对方，积极与对方协商终止合同结算方案，并达成书面协议后方可视为正式解除合同关系，如未达成解除协议则本合同不得解除，否则以违约处理并应向守约方支付本合同总价款5%的违约金，如果该违约金不足以弥补因此造成的一切损失，则还应由提出解除合同的一方承担，但本合同另有约定的除外。</w:t>
      </w:r>
    </w:p>
    <w:p w14:paraId="787799F9">
      <w:pPr>
        <w:pStyle w:val="6"/>
        <w:adjustRightInd w:val="0"/>
        <w:snapToGrid w:val="0"/>
        <w:ind w:left="0" w:firstLine="480" w:firstLineChars="200"/>
        <w:jc w:val="left"/>
        <w:rPr>
          <w:rFonts w:ascii="宋体" w:hAnsi="宋体" w:cs="宋体"/>
          <w:szCs w:val="24"/>
        </w:rPr>
      </w:pPr>
      <w:r>
        <w:rPr>
          <w:rFonts w:ascii="宋体" w:hAnsi="宋体" w:cs="宋体"/>
          <w:szCs w:val="24"/>
        </w:rPr>
        <w:t>2.甲方如不能按照合同规定付款，乙方应进行两次书面提醒，但不得停止维保工作，每次提醒时间间隔不少于一周，若甲方仍未付款，自第二次提醒要求的付款时间届满的次日起，每逾期一日，按应付而未付合同款的3‰，以实际逾期付款天数计算向乙方支付违约金，违约金总额不超过应付而未付合同款的5%。</w:t>
      </w:r>
    </w:p>
    <w:p w14:paraId="5B268D2B">
      <w:pPr>
        <w:pStyle w:val="6"/>
        <w:adjustRightInd w:val="0"/>
        <w:snapToGrid w:val="0"/>
        <w:ind w:left="0" w:firstLine="480" w:firstLineChars="200"/>
        <w:jc w:val="left"/>
        <w:rPr>
          <w:rFonts w:ascii="宋体" w:hAnsi="宋体" w:cs="宋体"/>
          <w:szCs w:val="24"/>
        </w:rPr>
      </w:pPr>
      <w:r>
        <w:rPr>
          <w:rFonts w:ascii="宋体" w:hAnsi="宋体" w:cs="宋体"/>
          <w:szCs w:val="24"/>
        </w:rPr>
        <w:t>3.在合同有效期内如果乙方未按约定的时间进场，或逾期未进行设备周期性维修、保养、巡检以及日常维修服务的，或没有在合同约定的时间内完成维修保养巡检等各种服务的，每出现一次，乙方应按1000元标准向甲方支付违约金，若上述情况累计超过三次则甲方有权解除本合同，同时乙方还应再向甲方支付本合同总价款5%的违约金。上述延期事由甲方有权就不同延期事由同时向乙方主张并累计计算违约金。</w:t>
      </w:r>
    </w:p>
    <w:p w14:paraId="46352814">
      <w:pPr>
        <w:pStyle w:val="6"/>
        <w:adjustRightInd w:val="0"/>
        <w:snapToGrid w:val="0"/>
        <w:ind w:left="0" w:firstLine="480" w:firstLineChars="200"/>
        <w:jc w:val="left"/>
        <w:rPr>
          <w:rFonts w:ascii="宋体" w:hAnsi="宋体" w:cs="宋体"/>
          <w:szCs w:val="24"/>
        </w:rPr>
      </w:pPr>
      <w:r>
        <w:rPr>
          <w:rFonts w:ascii="宋体" w:hAnsi="宋体" w:cs="宋体"/>
          <w:szCs w:val="24"/>
        </w:rPr>
        <w:t>4.如乙方维修保养巡检的设备出现事故或人身财产损失的，乙方承担事故全部责任，并赔偿甲方及事故相关方的所有损失，甲方不承担任何责任，不支付任何费用；如果甲方损失额度小且难以计算情况下，乙方应按本合同总价款10%标准向甲方支付违约金，若该违约金不足以弥补甲方的损失，那么乙方还应支付该不足部分的损失，同时甲方有权立即解除本合同，并要求乙方支付本合同总价款10%的合同解除违约金。</w:t>
      </w:r>
    </w:p>
    <w:p w14:paraId="635A2E5A">
      <w:pPr>
        <w:pStyle w:val="6"/>
        <w:adjustRightInd w:val="0"/>
        <w:snapToGrid w:val="0"/>
        <w:ind w:left="0" w:firstLine="480" w:firstLineChars="200"/>
        <w:jc w:val="left"/>
        <w:rPr>
          <w:rFonts w:ascii="宋体" w:hAnsi="宋体" w:cs="宋体"/>
          <w:szCs w:val="24"/>
        </w:rPr>
      </w:pPr>
      <w:r>
        <w:rPr>
          <w:rFonts w:ascii="宋体" w:hAnsi="宋体" w:cs="宋体"/>
          <w:szCs w:val="24"/>
        </w:rPr>
        <w:t>5.乙方的维护保养工作不符合合同约定的维护保养标准或要求的，或者维修保养后甲方设备仍无法正常安全稳定高效运行和使用的，乙方应当返工，并向甲方支付本合同总价款10%的违约金。若发生三次需返工的情况或返工仍不符合合同约定的标准或乙方拒绝返工的，则甲方有权单方解除本合同，乙方还应再向甲方支付本合同总价款5%的违约金。</w:t>
      </w:r>
    </w:p>
    <w:p w14:paraId="77B34EFC">
      <w:pPr>
        <w:pStyle w:val="6"/>
        <w:adjustRightInd w:val="0"/>
        <w:snapToGrid w:val="0"/>
        <w:ind w:left="0" w:firstLine="480" w:firstLineChars="200"/>
        <w:jc w:val="left"/>
        <w:rPr>
          <w:rFonts w:ascii="宋体" w:hAnsi="宋体" w:cs="宋体"/>
          <w:szCs w:val="24"/>
        </w:rPr>
      </w:pPr>
      <w:r>
        <w:rPr>
          <w:rFonts w:ascii="宋体" w:hAnsi="宋体" w:cs="宋体"/>
          <w:szCs w:val="24"/>
        </w:rPr>
        <w:t>6.如乙方提供的零配件质量不符合本合同约定或甲方的要求，或经两次维修后仍出现故障，或无法与甲方现有设备适配，或零配件的使用期限未达到约定时间或厂家承诺的时间，则乙方应在甲方规定的时间内进行免费更换零配件并负责安装，由此发生的费用全部由乙方承担，同时该配件的维保期及使用期限等时间重新计算，且乙方还应向甲方支付本合同总价款5%的违约金。</w:t>
      </w:r>
    </w:p>
    <w:p w14:paraId="69E4BDB0">
      <w:pPr>
        <w:pStyle w:val="6"/>
        <w:adjustRightInd w:val="0"/>
        <w:snapToGrid w:val="0"/>
        <w:ind w:left="0" w:firstLine="480" w:firstLineChars="200"/>
        <w:jc w:val="left"/>
        <w:rPr>
          <w:rFonts w:ascii="宋体" w:hAnsi="宋体" w:cs="宋体"/>
          <w:szCs w:val="24"/>
        </w:rPr>
      </w:pPr>
      <w:r>
        <w:rPr>
          <w:rFonts w:ascii="宋体" w:hAnsi="宋体" w:cs="宋体"/>
          <w:szCs w:val="24"/>
        </w:rPr>
        <w:t>7.因乙方违约导致甲方或第三方人身伤亡、财产损失或设备损坏、丢失的，由乙方承担全部责任，并且应向甲方支付本合同总价款10%的违约金。</w:t>
      </w:r>
    </w:p>
    <w:p w14:paraId="5BA4E02A">
      <w:pPr>
        <w:pStyle w:val="6"/>
        <w:adjustRightInd w:val="0"/>
        <w:snapToGrid w:val="0"/>
        <w:ind w:left="0" w:firstLine="480" w:firstLineChars="200"/>
        <w:jc w:val="left"/>
        <w:rPr>
          <w:rFonts w:ascii="宋体" w:hAnsi="宋体" w:cs="宋体"/>
          <w:szCs w:val="24"/>
        </w:rPr>
      </w:pPr>
      <w:r>
        <w:rPr>
          <w:rFonts w:ascii="宋体" w:hAnsi="宋体" w:cs="宋体"/>
          <w:szCs w:val="24"/>
        </w:rPr>
        <w:t>8.乙方应将本合同履行过程中掌握的所有技术资料及设置参数和《巡检报告》、《维护保养计划表》、《维护检查表》等书面记录原件和复印件全部提供和返还给甲方，不得设置任何技术壁垒或障碍，也不得设置程序口令、密码、设置参数、开关、钥匙、源代码、脚本等限制甲方使用的措施，否则甲方有权要求其支付本合同总价款10%的违约金，同时甲方有权解除合同并要求乙方退还已支付的所有合同款，还有权另行委托第三方重新维修。如因乙方拒绝提供设备上述数据等导致第三方难以维修或甲方难以正常使用，那么甲方有权拆除原设备并重新购置安装新设备，由此产生的所有费用和损失均全部由乙方承担和赔偿，同时甲方有权要求乙方再支付本合同总价款15%的违约金，而且因此所发生的一切责任及安全事故均由乙方负责。</w:t>
      </w:r>
    </w:p>
    <w:p w14:paraId="1D26F7CD">
      <w:pPr>
        <w:pStyle w:val="6"/>
        <w:adjustRightInd w:val="0"/>
        <w:snapToGrid w:val="0"/>
        <w:ind w:left="0" w:firstLine="480" w:firstLineChars="200"/>
        <w:jc w:val="left"/>
        <w:rPr>
          <w:rFonts w:ascii="宋体" w:hAnsi="宋体" w:cs="宋体"/>
          <w:szCs w:val="24"/>
        </w:rPr>
      </w:pPr>
      <w:r>
        <w:rPr>
          <w:rFonts w:ascii="宋体" w:hAnsi="宋体" w:cs="宋体"/>
          <w:szCs w:val="24"/>
        </w:rPr>
        <w:t>9.因履行本合同而产生的一切知识产权及申请权、收益、利益全部归甲方所有，乙方除履行本合同外，不得使用或允许第三方使用也不得透露给任何第三方，否则乙方应向甲方支付本合同总价款5%的违约金。</w:t>
      </w:r>
    </w:p>
    <w:p w14:paraId="28D89896">
      <w:pPr>
        <w:pStyle w:val="6"/>
        <w:adjustRightInd w:val="0"/>
        <w:snapToGrid w:val="0"/>
        <w:ind w:left="0" w:firstLine="480" w:firstLineChars="200"/>
        <w:jc w:val="left"/>
        <w:rPr>
          <w:rFonts w:ascii="宋体" w:hAnsi="宋体" w:cs="宋体"/>
          <w:szCs w:val="24"/>
        </w:rPr>
      </w:pPr>
      <w:r>
        <w:rPr>
          <w:rFonts w:ascii="宋体" w:hAnsi="宋体" w:cs="宋体"/>
          <w:szCs w:val="24"/>
        </w:rPr>
        <w:t>10.乙方因履行本合同掌握的甲方所有资料及信息均必须保密，否则每发现一次，乙方应向甲方支付3000元作为违约金，该违约金甲方可直接在合同款余款中直接扣除；乙方除向具体权利人承担侵权责任外，还应赔偿由此给甲方造成损失，包括（但不限于）直接损失、间接损失、预期可得利益的损失、甲方因解决纠纷而支出的律师费、诉讼费、鉴定费、交通费、公证费等费用及甲方先行支付的赔偿及补偿费用。</w:t>
      </w:r>
    </w:p>
    <w:p w14:paraId="0E524071">
      <w:pPr>
        <w:pStyle w:val="6"/>
        <w:adjustRightInd w:val="0"/>
        <w:snapToGrid w:val="0"/>
        <w:ind w:left="0" w:firstLine="480" w:firstLineChars="200"/>
        <w:jc w:val="left"/>
        <w:rPr>
          <w:rFonts w:ascii="宋体" w:hAnsi="宋体" w:cs="宋体"/>
          <w:szCs w:val="24"/>
        </w:rPr>
      </w:pPr>
      <w:r>
        <w:rPr>
          <w:rFonts w:ascii="宋体" w:hAnsi="宋体" w:cs="宋体"/>
          <w:szCs w:val="24"/>
        </w:rPr>
        <w:t>11.驻场维修人员应当遵守甲方的有关规定和条款，不得在甲方从事任何与履行本合同无关的活动，更不得出现违法违规行为，如出现违规违法情况，乙方应向甲方支付本合同总价款5%的违约金，若发生相应损害及后果，上述违约金不足以弥补甲方损失，则乙方还应再行赔偿。</w:t>
      </w:r>
    </w:p>
    <w:p w14:paraId="2227C639">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12.如本合同签订时，乙方及其工作人员不具备本合同项下设备的维修、保养、巡检以及更换零配件等资质或在合同履行期间丧失上述资质，则甲方有权单方解除本合同，乙方应向甲方支付本合同总价款15%的违约金。</w:t>
      </w:r>
    </w:p>
    <w:p w14:paraId="3D5FA205">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13.乙方在履行本合同掌握的甲方及其相关人员的信息，乙方除在本合同使用外，不得在其他任何地方使用，更不得向任何第三方泄露，否则乙方应向甲方支付本合同总价款15%的违约金。</w:t>
      </w:r>
    </w:p>
    <w:p w14:paraId="4D66B873">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14.如本合同项下的设备，因乙方维修保养巡检问题，造成设备出现故障、停机、死机，则每出现一次，乙方应向甲方支付本合同总价款3%的违约金，若一个月内月累计超过三次或三个月内累计超过六次出现该情况，则甲方有权单方解除本合同，乙方还再向甲方支付本合同总价款10%的合同解除违约金。</w:t>
      </w:r>
    </w:p>
    <w:p w14:paraId="01717D1B">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15.乙方必须亲自履行本合同，如乙方转包或委托他人履行合同，则甲方有权解除合同并要求乙方退还已支付的所有合同款，同时还有权要求乙方支付本合同总价款15%的违约金，同时要求乙方与受托方或承包方承担无限连带责任。</w:t>
      </w:r>
    </w:p>
    <w:p w14:paraId="0DB5E7A0">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16.乙方派驻到甲方的工作人员与乙方存在雇佣、用工、劳动或劳务关系，与甲方没有任何关系，也不属于劳务派遣，乙方派驻到甲方工作人员的工资及其他福利等费用全部由乙方承担并支付，甲方不支付任何费用；若乙方派驻到甲方的工作人员与乙方发生劳动或劳务以及其他纠纷，应由其内部解决，与甲方无关，同时不得延误对甲方设备的维护保养工作，否则应按相应的违约条款向甲方支付违约金。乙方必须保证其员工不得以任何形式对甲方提出任何主张及要求，不得有任何干扰、信访等各种影响甲方的行为。乙方派驻到甲方工作人员在甲方场所发生人身、财产损害或意外事故以及乙方工作人员侵犯他人人身财产等情况时，相关的责任及费用最终全部由乙方承担，甲方不承担任何费用。</w:t>
      </w:r>
    </w:p>
    <w:p w14:paraId="0055319F">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17.本合同对违约及其责任已有约定的从其约定，除此以外如果乙方还有其他违约行为或虚假陈述及承诺，经甲方指出后仍不改正的，则甲方有权要求乙方支付本合同总价款5%的违约金，同时还有权要求继续履行合同，也可要求解除合同并且可选择或决定解除效力的范围、是否溯及既往及时间。</w:t>
      </w:r>
    </w:p>
    <w:p w14:paraId="620D4A00">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18.本合同项下约定的违约金如果不足以弥补对方的各种损失（包括但不限于直接损失，间接损失，预期可得利益的损失，守约方维权而支出的律师费、诉讼费、鉴定费以及取证发生的费用），则违约方还应再赔偿对方的损失。</w:t>
      </w:r>
    </w:p>
    <w:p w14:paraId="7AA96DFF">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19.如因为乙方的责任致使甲方被他人索赔，则甲方有独立的应诉权，因此支付他人的赔偿款、补偿款以及律师费、鉴定费、诉讼费以及取证发生的费用等均由乙方承担。</w:t>
      </w:r>
    </w:p>
    <w:p w14:paraId="5DA92ED8">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20.在本合同期满或解除之日起</w:t>
      </w:r>
      <w:r>
        <w:rPr>
          <w:rFonts w:ascii="宋体" w:hAnsi="宋体" w:cs="宋体"/>
          <w:sz w:val="24"/>
          <w:szCs w:val="24"/>
          <w:u w:val="single"/>
        </w:rPr>
        <w:t>7</w:t>
      </w:r>
      <w:r>
        <w:rPr>
          <w:rFonts w:ascii="宋体" w:hAnsi="宋体" w:cs="宋体"/>
          <w:sz w:val="24"/>
          <w:szCs w:val="24"/>
        </w:rPr>
        <w:t>日内，乙方在甲方驻场的工作人员应将其所有的物品全部带走，并将使用的甲方房屋及其他电器设备等全部归还给甲方，若乙方在上述期限内仍未撤离，则甲方有权将乙方及工作人员所有的物品堆积存放，同时乙方应向甲方支付每日300元的存放费，若超过15日乙方仍未将存放物品取走，则视为乙方抛弃了上述物品，对此甲方可以随意处置并且无需承担违约责任。</w:t>
      </w:r>
    </w:p>
    <w:p w14:paraId="6A2EB9F5">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21.如果乙方在履行本合同中存在违法、违约、违规或违背社会伦理道德等行为，被媒体以及其他传播途径曝光或被社会关注，有直接或间接的影响甲方的声誉、名誉和社会评价下降可能时，那么甲方有权单方提前解除本合同并要求乙方退还甲方已支付的全部费用，同时乙方还应支付甲方本合同总价款10%的违约金，并通过相同或类似媒体及传播途径在相同或与影响相当范围内向社会公众澄清事实并恢复甲方的声誉、名誉和社会评价，有关费用由乙方自行承担，同时因此发生的一切责任和损失（包括但不限于甲方的损失和第三人的损失及乙方自己的损失）均由乙方承担和负责，甲方不承担任何责任。</w:t>
      </w:r>
    </w:p>
    <w:p w14:paraId="2D8644DB">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22.本合同中双方提供的地址及法定代表人和联系人为其送达地址及收件人，如有变化需在更改后3日内以书面形式通知对方，如存在一方提供的地址及收件人信息错误、或者地址及收件人变更但未及时通知对方导致无法送达、或者拒绝签收等情况，那么自对方按该方提供的地址及收件人信息邮寄函件次日起的第3天即视为已送达该方，并产生相应的法律效力。</w:t>
      </w:r>
    </w:p>
    <w:p w14:paraId="0E2FAC52">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23.甲方未行使或未及时行使其在本合同项下的权利，并不表明甲方对这些权利的放弃，部分行使其在本协议项下的权利并不排斥其他权利的行使。甲方有权根据情况行使相关权利并要求乙方承担相应的违约责任。</w:t>
      </w:r>
    </w:p>
    <w:p w14:paraId="7AA098F0">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24.如乙方的违约行为可以同时适用两条及以上的违约约定，那么甲方有权选择其中任何一条违约条款及其中部分内容向乙方主张相关权利。</w:t>
      </w:r>
    </w:p>
    <w:p w14:paraId="20E2294C">
      <w:pPr>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25.其他未约定的违约责任按照《中华人民共和国合同法》执行。</w:t>
      </w:r>
    </w:p>
    <w:p w14:paraId="1A5EC833">
      <w:pPr>
        <w:adjustRightInd w:val="0"/>
        <w:snapToGrid w:val="0"/>
        <w:spacing w:line="360" w:lineRule="auto"/>
        <w:ind w:firstLine="482" w:firstLineChars="200"/>
        <w:rPr>
          <w:rFonts w:ascii="宋体" w:hAnsi="宋体" w:cs="宋体"/>
          <w:b/>
          <w:sz w:val="24"/>
          <w:szCs w:val="24"/>
        </w:rPr>
      </w:pPr>
      <w:r>
        <w:rPr>
          <w:rFonts w:ascii="宋体" w:hAnsi="宋体" w:cs="宋体"/>
          <w:b/>
          <w:sz w:val="24"/>
          <w:szCs w:val="24"/>
        </w:rPr>
        <w:t>九、维修保养事宜联系：</w:t>
      </w:r>
    </w:p>
    <w:p w14:paraId="74A4E376">
      <w:pPr>
        <w:adjustRightInd w:val="0"/>
        <w:snapToGrid w:val="0"/>
        <w:spacing w:line="360" w:lineRule="auto"/>
        <w:ind w:firstLine="480" w:firstLineChars="200"/>
        <w:rPr>
          <w:rFonts w:ascii="宋体" w:hAnsi="宋体" w:cs="宋体"/>
          <w:sz w:val="24"/>
          <w:szCs w:val="24"/>
          <w:u w:val="single"/>
        </w:rPr>
      </w:pPr>
      <w:r>
        <w:rPr>
          <w:rFonts w:ascii="宋体" w:hAnsi="宋体" w:cs="宋体"/>
          <w:sz w:val="24"/>
          <w:szCs w:val="24"/>
        </w:rPr>
        <w:t>甲方联系部门：          授权代表：      联系电话：</w:t>
      </w:r>
    </w:p>
    <w:p w14:paraId="6E7D3F97">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乙方联系部门：          联系人：             电话：</w:t>
      </w:r>
    </w:p>
    <w:p w14:paraId="759606C0">
      <w:pPr>
        <w:adjustRightInd w:val="0"/>
        <w:snapToGrid w:val="0"/>
        <w:spacing w:line="360" w:lineRule="auto"/>
        <w:ind w:firstLine="480" w:firstLineChars="200"/>
        <w:rPr>
          <w:rFonts w:ascii="宋体" w:hAnsi="宋体" w:cs="宋体"/>
          <w:bCs/>
          <w:sz w:val="24"/>
          <w:szCs w:val="24"/>
          <w:u w:val="single"/>
        </w:rPr>
      </w:pPr>
      <w:r>
        <w:rPr>
          <w:rFonts w:ascii="宋体" w:hAnsi="宋体" w:cs="宋体"/>
          <w:bCs/>
          <w:sz w:val="24"/>
          <w:szCs w:val="24"/>
        </w:rPr>
        <w:t>24小时维保电话：</w:t>
      </w:r>
    </w:p>
    <w:p w14:paraId="77903C7A">
      <w:pPr>
        <w:spacing w:line="360" w:lineRule="auto"/>
        <w:ind w:firstLine="480"/>
        <w:jc w:val="left"/>
        <w:rPr>
          <w:rFonts w:ascii="宋体" w:hAnsi="宋体" w:cs="宋体"/>
          <w:b/>
          <w:sz w:val="24"/>
          <w:szCs w:val="24"/>
        </w:rPr>
      </w:pPr>
      <w:r>
        <w:rPr>
          <w:rFonts w:ascii="宋体" w:hAnsi="宋体" w:cs="宋体"/>
          <w:b/>
          <w:sz w:val="24"/>
          <w:szCs w:val="24"/>
        </w:rPr>
        <w:t>十、附件</w:t>
      </w:r>
    </w:p>
    <w:p w14:paraId="0964449F">
      <w:pPr>
        <w:adjustRightInd w:val="0"/>
        <w:snapToGrid w:val="0"/>
        <w:spacing w:line="360" w:lineRule="auto"/>
        <w:ind w:firstLine="720" w:firstLineChars="300"/>
        <w:rPr>
          <w:rFonts w:ascii="宋体" w:hAnsi="宋体" w:cs="宋体"/>
          <w:sz w:val="24"/>
          <w:szCs w:val="24"/>
          <w:highlight w:val="green"/>
        </w:rPr>
      </w:pPr>
      <w:r>
        <w:rPr>
          <w:rFonts w:ascii="宋体" w:hAnsi="宋体" w:cs="宋体"/>
          <w:sz w:val="24"/>
          <w:szCs w:val="24"/>
        </w:rPr>
        <w:t>附件1.《大型机组单价在300元以下配件明细清单》、《分体机单价在50元以下配件明细清单》</w:t>
      </w:r>
    </w:p>
    <w:p w14:paraId="3CAAE628">
      <w:pPr>
        <w:adjustRightInd w:val="0"/>
        <w:snapToGrid w:val="0"/>
        <w:spacing w:line="360" w:lineRule="auto"/>
        <w:ind w:firstLine="720" w:firstLineChars="300"/>
        <w:rPr>
          <w:rFonts w:ascii="宋体" w:hAnsi="宋体" w:cs="宋体"/>
          <w:sz w:val="24"/>
          <w:szCs w:val="24"/>
        </w:rPr>
      </w:pPr>
      <w:r>
        <w:rPr>
          <w:rFonts w:ascii="宋体" w:hAnsi="宋体" w:cs="宋体"/>
          <w:sz w:val="24"/>
          <w:szCs w:val="24"/>
        </w:rPr>
        <w:t>附件2.《维护保养计划表》</w:t>
      </w:r>
    </w:p>
    <w:p w14:paraId="700B0126">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上述附件是本合同不可分割的共同组成部分，与本合同具有同等法律效力，如内容与本合同存在冲突，则以本合同内容为准。</w:t>
      </w:r>
    </w:p>
    <w:p w14:paraId="0EAAEF65">
      <w:pPr>
        <w:adjustRightInd w:val="0"/>
        <w:snapToGrid w:val="0"/>
        <w:spacing w:line="360" w:lineRule="auto"/>
        <w:ind w:firstLine="482" w:firstLineChars="200"/>
        <w:rPr>
          <w:rFonts w:ascii="宋体" w:hAnsi="宋体" w:cs="宋体"/>
          <w:b/>
          <w:bCs/>
          <w:sz w:val="24"/>
          <w:szCs w:val="24"/>
        </w:rPr>
      </w:pPr>
      <w:r>
        <w:rPr>
          <w:rFonts w:ascii="宋体" w:hAnsi="宋体" w:cs="宋体"/>
          <w:b/>
          <w:sz w:val="24"/>
          <w:szCs w:val="24"/>
        </w:rPr>
        <w:t>十一、</w:t>
      </w:r>
      <w:r>
        <w:rPr>
          <w:rFonts w:ascii="宋体" w:hAnsi="宋体" w:cs="宋体"/>
          <w:b/>
          <w:bCs/>
          <w:sz w:val="24"/>
          <w:szCs w:val="24"/>
        </w:rPr>
        <w:t>双方商定的其他事项</w:t>
      </w:r>
    </w:p>
    <w:p w14:paraId="12FA1A0C">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1.如双方发生合同纠纷以及与本合同相关的一切纠纷，双方可以友好协商解决，甲乙双方协商不成或一方不愿协商时，任何一方均有权向甲方本部所在地（北京市东城区）有管辖权的人民法院提起诉讼。</w:t>
      </w:r>
    </w:p>
    <w:p w14:paraId="1CCCC3DE">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2.不可抗力是指甲乙双方在缔结合同时所不能预见的，并且它的发生及后果是无法避免和无法克服的事件。双方任一方由于受诸如严重火灾、洪水、台风、地震、政府政策变化、甲方上级部门命令、维修设备毁损等不可抗力的影响而不能执行合同时，履行合同的期限应予以延长，延长的期限应相当于不可抗力所影响的时间，若超过30日仍无法继续履行合同，则甲方有权单方解除本合同。受不可抗力影响的一方应在不可抗力发生后尽快以书面形式通知对方，并于不可抗力发生后14天内将有关政府部门出具的证明文件提供给对方审阅确定。</w:t>
      </w:r>
    </w:p>
    <w:p w14:paraId="4759D1C4">
      <w:pPr>
        <w:adjustRightInd w:val="0"/>
        <w:snapToGrid w:val="0"/>
        <w:spacing w:line="360" w:lineRule="auto"/>
        <w:ind w:firstLine="480" w:firstLineChars="200"/>
        <w:rPr>
          <w:rFonts w:ascii="宋体" w:hAnsi="宋体" w:cs="宋体"/>
          <w:color w:val="00B050"/>
          <w:sz w:val="24"/>
          <w:szCs w:val="24"/>
        </w:rPr>
      </w:pPr>
      <w:r>
        <w:rPr>
          <w:rFonts w:ascii="宋体" w:hAnsi="宋体" w:cs="宋体"/>
          <w:sz w:val="24"/>
          <w:szCs w:val="24"/>
        </w:rPr>
        <w:t>3.甲方同意乙方不负担甲方与空调维修保养无关的供水、排水及供电系统的一切事宜。</w:t>
      </w:r>
    </w:p>
    <w:p w14:paraId="28E43D78">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4.本合同终止后是否续签合同由甲乙双方另行协商确定，最终以甲乙双方法定代表人或授权代表签字并加盖合同主体公章的书面协议为准。</w:t>
      </w:r>
    </w:p>
    <w:p w14:paraId="3FB4CCA3">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5.如有未尽事宜，双方可友好协商并签订《补充协议》，补充协议需由双方法定代表人或授权代表签字并加盖主体公章后生效，否则视为未签订。</w:t>
      </w:r>
    </w:p>
    <w:p w14:paraId="59497A12">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6.本合同一式柒份，甲执伍份，乙方执贰份，双方法定代表人或授权代表签字并加盖合同主体公章后即视为生效，具有同等法律效力。</w:t>
      </w:r>
    </w:p>
    <w:p w14:paraId="032BCE7C">
      <w:pPr>
        <w:pStyle w:val="6"/>
        <w:tabs>
          <w:tab w:val="left" w:pos="360"/>
        </w:tabs>
        <w:ind w:right="480"/>
        <w:rPr>
          <w:rFonts w:ascii="宋体" w:hAnsi="宋体" w:cs="宋体"/>
        </w:rPr>
      </w:pPr>
    </w:p>
    <w:p w14:paraId="5A3D4D73">
      <w:pPr>
        <w:pStyle w:val="6"/>
        <w:tabs>
          <w:tab w:val="left" w:pos="360"/>
        </w:tabs>
        <w:ind w:right="480"/>
        <w:rPr>
          <w:rFonts w:ascii="宋体" w:hAnsi="宋体" w:cs="宋体"/>
        </w:rPr>
      </w:pPr>
    </w:p>
    <w:p w14:paraId="39025E64">
      <w:pPr>
        <w:pStyle w:val="6"/>
        <w:tabs>
          <w:tab w:val="left" w:pos="360"/>
        </w:tabs>
        <w:ind w:left="721" w:hanging="721"/>
        <w:rPr>
          <w:rFonts w:hint="default" w:ascii="宋体" w:hAnsi="宋体" w:cs="宋体"/>
          <w:b/>
          <w:bCs/>
        </w:rPr>
        <w:sectPr>
          <w:pgSz w:w="12240" w:h="15840"/>
          <w:pgMar w:top="1440" w:right="1800" w:bottom="1440" w:left="1800" w:header="720" w:footer="720" w:gutter="0"/>
          <w:lnNumType w:countBy="0" w:distance="360"/>
          <w:cols w:space="720" w:num="1"/>
        </w:sectPr>
      </w:pPr>
      <w:r>
        <w:rPr>
          <w:rFonts w:ascii="宋体" w:hAnsi="宋体" w:cs="宋体"/>
          <w:b/>
          <w:bCs/>
        </w:rPr>
        <w:br w:type="page"/>
      </w:r>
    </w:p>
    <w:p w14:paraId="694E6FF6">
      <w:pPr>
        <w:pStyle w:val="6"/>
        <w:tabs>
          <w:tab w:val="left" w:pos="360"/>
        </w:tabs>
        <w:ind w:left="721" w:hanging="721"/>
        <w:rPr>
          <w:rFonts w:ascii="宋体" w:hAnsi="宋体" w:cs="宋体"/>
          <w:b/>
          <w:bCs/>
        </w:rPr>
      </w:pPr>
      <w:r>
        <w:rPr>
          <w:rFonts w:ascii="宋体" w:hAnsi="宋体" w:cs="宋体"/>
          <w:b/>
          <w:bCs/>
        </w:rPr>
        <w:t>甲方：首都医科大学附属北京口腔医院（单位盖章）</w:t>
      </w:r>
      <w:r>
        <w:rPr>
          <w:rFonts w:ascii="宋体" w:hAnsi="宋体" w:cs="宋体"/>
          <w:b/>
          <w:bCs/>
        </w:rPr>
        <w:tab/>
      </w:r>
    </w:p>
    <w:p w14:paraId="3A2D793F">
      <w:pPr>
        <w:pStyle w:val="6"/>
        <w:tabs>
          <w:tab w:val="left" w:pos="360"/>
        </w:tabs>
        <w:ind w:left="721" w:hanging="721"/>
        <w:rPr>
          <w:rFonts w:ascii="宋体" w:hAnsi="宋体" w:cs="宋体"/>
          <w:b/>
          <w:bCs/>
        </w:rPr>
      </w:pPr>
    </w:p>
    <w:p w14:paraId="7EEF3404">
      <w:pPr>
        <w:pStyle w:val="6"/>
        <w:tabs>
          <w:tab w:val="left" w:pos="360"/>
          <w:tab w:val="center" w:pos="4422"/>
        </w:tabs>
        <w:ind w:left="721" w:hanging="721"/>
        <w:rPr>
          <w:rFonts w:ascii="宋体" w:hAnsi="宋体" w:cs="宋体"/>
          <w:b/>
          <w:bCs/>
        </w:rPr>
      </w:pPr>
      <w:r>
        <w:rPr>
          <w:rFonts w:ascii="宋体" w:hAnsi="宋体" w:cs="宋体"/>
          <w:b/>
          <w:bCs/>
        </w:rPr>
        <w:t>甲方授权代表签字：</w:t>
      </w:r>
    </w:p>
    <w:p w14:paraId="2D5DBC53">
      <w:pPr>
        <w:pStyle w:val="6"/>
        <w:tabs>
          <w:tab w:val="left" w:pos="360"/>
          <w:tab w:val="center" w:pos="4422"/>
        </w:tabs>
        <w:ind w:left="721" w:hanging="721"/>
        <w:rPr>
          <w:rFonts w:ascii="宋体" w:hAnsi="宋体" w:cs="宋体"/>
          <w:b/>
          <w:bCs/>
        </w:rPr>
      </w:pPr>
    </w:p>
    <w:p w14:paraId="01CCF4FA">
      <w:pPr>
        <w:pStyle w:val="6"/>
        <w:tabs>
          <w:tab w:val="left" w:pos="360"/>
          <w:tab w:val="center" w:pos="4422"/>
        </w:tabs>
        <w:ind w:left="721" w:hanging="721"/>
        <w:rPr>
          <w:rFonts w:ascii="宋体" w:hAnsi="宋体" w:cs="宋体"/>
          <w:b/>
          <w:bCs/>
        </w:rPr>
      </w:pPr>
      <w:r>
        <w:rPr>
          <w:rFonts w:ascii="宋体" w:hAnsi="宋体" w:cs="宋体"/>
          <w:b/>
          <w:bCs/>
        </w:rPr>
        <w:t>地址：</w:t>
      </w:r>
    </w:p>
    <w:p w14:paraId="3D516526">
      <w:pPr>
        <w:pStyle w:val="6"/>
        <w:tabs>
          <w:tab w:val="left" w:pos="360"/>
          <w:tab w:val="center" w:pos="4422"/>
        </w:tabs>
        <w:ind w:left="721" w:hanging="721"/>
        <w:rPr>
          <w:rFonts w:ascii="宋体" w:hAnsi="宋体" w:cs="宋体"/>
          <w:b/>
          <w:bCs/>
        </w:rPr>
      </w:pPr>
    </w:p>
    <w:p w14:paraId="470B1189">
      <w:pPr>
        <w:pStyle w:val="6"/>
        <w:tabs>
          <w:tab w:val="left" w:pos="360"/>
          <w:tab w:val="center" w:pos="4422"/>
        </w:tabs>
        <w:ind w:left="721" w:hanging="721"/>
        <w:rPr>
          <w:rFonts w:ascii="宋体" w:hAnsi="宋体" w:cs="宋体"/>
          <w:b/>
          <w:bCs/>
        </w:rPr>
      </w:pPr>
      <w:r>
        <w:rPr>
          <w:rFonts w:ascii="宋体" w:hAnsi="宋体" w:cs="宋体"/>
          <w:b/>
          <w:bCs/>
        </w:rPr>
        <w:t>电话：</w:t>
      </w:r>
    </w:p>
    <w:p w14:paraId="0510B4CA">
      <w:pPr>
        <w:pStyle w:val="6"/>
        <w:tabs>
          <w:tab w:val="left" w:pos="360"/>
          <w:tab w:val="center" w:pos="4422"/>
        </w:tabs>
        <w:ind w:left="721" w:hanging="721"/>
        <w:rPr>
          <w:rFonts w:ascii="宋体" w:hAnsi="宋体" w:cs="宋体"/>
          <w:b/>
          <w:bCs/>
        </w:rPr>
      </w:pPr>
      <w:r>
        <w:rPr>
          <w:rFonts w:ascii="宋体" w:hAnsi="宋体" w:cs="宋体"/>
          <w:b/>
          <w:bCs/>
        </w:rPr>
        <w:tab/>
      </w:r>
    </w:p>
    <w:p w14:paraId="243AC697">
      <w:pPr>
        <w:pStyle w:val="6"/>
        <w:tabs>
          <w:tab w:val="left" w:pos="360"/>
        </w:tabs>
        <w:ind w:left="721" w:hanging="721"/>
        <w:rPr>
          <w:rFonts w:ascii="宋体" w:hAnsi="宋体" w:cs="宋体"/>
          <w:b/>
          <w:bCs/>
        </w:rPr>
      </w:pPr>
      <w:r>
        <w:rPr>
          <w:rFonts w:ascii="宋体" w:hAnsi="宋体" w:cs="宋体"/>
          <w:b/>
        </w:rPr>
        <w:t xml:space="preserve">日期：      年    月    日          </w:t>
      </w:r>
    </w:p>
    <w:p w14:paraId="5A90D4CF">
      <w:pPr>
        <w:pStyle w:val="6"/>
        <w:tabs>
          <w:tab w:val="left" w:pos="360"/>
        </w:tabs>
        <w:ind w:left="721" w:right="964" w:hanging="721"/>
        <w:jc w:val="left"/>
        <w:rPr>
          <w:rFonts w:ascii="宋体" w:hAnsi="宋体" w:cs="宋体"/>
          <w:b/>
          <w:bCs/>
        </w:rPr>
      </w:pPr>
    </w:p>
    <w:p w14:paraId="7C62C625">
      <w:pPr>
        <w:pStyle w:val="6"/>
        <w:tabs>
          <w:tab w:val="left" w:pos="360"/>
        </w:tabs>
        <w:ind w:left="721" w:right="964" w:hanging="721"/>
        <w:jc w:val="left"/>
        <w:rPr>
          <w:rFonts w:hint="default" w:ascii="宋体" w:hAnsi="宋体" w:cs="宋体"/>
          <w:b/>
          <w:bCs/>
        </w:rPr>
      </w:pPr>
      <w:r>
        <w:rPr>
          <w:rFonts w:ascii="宋体" w:hAnsi="宋体" w:cs="宋体"/>
          <w:b/>
          <w:bCs/>
        </w:rPr>
        <w:t>乙方：</w:t>
      </w:r>
    </w:p>
    <w:p w14:paraId="4B2868D8">
      <w:pPr>
        <w:pStyle w:val="6"/>
        <w:tabs>
          <w:tab w:val="left" w:pos="360"/>
        </w:tabs>
        <w:ind w:left="721" w:right="964" w:hanging="721"/>
        <w:jc w:val="left"/>
        <w:rPr>
          <w:rFonts w:ascii="宋体" w:hAnsi="宋体" w:cs="宋体"/>
          <w:b/>
          <w:bCs/>
        </w:rPr>
      </w:pPr>
      <w:r>
        <w:rPr>
          <w:rFonts w:ascii="宋体" w:hAnsi="宋体" w:cs="宋体"/>
          <w:b/>
          <w:bCs/>
        </w:rPr>
        <w:t>（单位盖章）</w:t>
      </w:r>
    </w:p>
    <w:p w14:paraId="31DDCF54">
      <w:pPr>
        <w:pStyle w:val="6"/>
        <w:tabs>
          <w:tab w:val="left" w:pos="360"/>
        </w:tabs>
        <w:ind w:left="721" w:right="964" w:hanging="721"/>
        <w:jc w:val="left"/>
        <w:rPr>
          <w:rFonts w:ascii="宋体" w:hAnsi="宋体" w:cs="宋体"/>
          <w:b/>
          <w:bCs/>
        </w:rPr>
      </w:pPr>
    </w:p>
    <w:p w14:paraId="46DDF3DE">
      <w:pPr>
        <w:pStyle w:val="6"/>
        <w:tabs>
          <w:tab w:val="left" w:pos="360"/>
        </w:tabs>
        <w:ind w:left="721" w:right="964" w:hanging="721"/>
        <w:jc w:val="left"/>
        <w:rPr>
          <w:rFonts w:ascii="宋体" w:hAnsi="宋体" w:cs="宋体"/>
          <w:b/>
          <w:bCs/>
        </w:rPr>
      </w:pPr>
      <w:r>
        <w:rPr>
          <w:rFonts w:ascii="宋体" w:hAnsi="宋体" w:cs="宋体"/>
          <w:b/>
          <w:bCs/>
        </w:rPr>
        <w:t>乙方授权代表签字：</w:t>
      </w:r>
    </w:p>
    <w:p w14:paraId="6C7AF667">
      <w:pPr>
        <w:pStyle w:val="6"/>
        <w:tabs>
          <w:tab w:val="left" w:pos="360"/>
        </w:tabs>
        <w:ind w:left="0" w:right="964" w:firstLine="0" w:firstLineChars="0"/>
        <w:jc w:val="left"/>
        <w:rPr>
          <w:rFonts w:ascii="宋体" w:hAnsi="宋体" w:cs="宋体"/>
          <w:b/>
          <w:bCs/>
        </w:rPr>
      </w:pPr>
    </w:p>
    <w:p w14:paraId="38663C4A">
      <w:pPr>
        <w:pStyle w:val="6"/>
        <w:tabs>
          <w:tab w:val="left" w:pos="360"/>
        </w:tabs>
        <w:ind w:left="721" w:right="964" w:hanging="721"/>
        <w:jc w:val="left"/>
        <w:rPr>
          <w:rFonts w:ascii="宋体" w:hAnsi="宋体" w:cs="宋体"/>
          <w:b/>
          <w:bCs/>
        </w:rPr>
      </w:pPr>
      <w:r>
        <w:rPr>
          <w:rFonts w:ascii="宋体" w:hAnsi="宋体" w:cs="宋体"/>
          <w:b/>
          <w:bCs/>
        </w:rPr>
        <w:t>地址：</w:t>
      </w:r>
    </w:p>
    <w:p w14:paraId="1288254B">
      <w:pPr>
        <w:pStyle w:val="6"/>
        <w:tabs>
          <w:tab w:val="left" w:pos="360"/>
        </w:tabs>
        <w:ind w:left="721" w:right="964" w:hanging="721"/>
        <w:jc w:val="left"/>
        <w:rPr>
          <w:rFonts w:ascii="宋体" w:hAnsi="宋体" w:cs="宋体"/>
          <w:b/>
          <w:bCs/>
        </w:rPr>
      </w:pPr>
    </w:p>
    <w:p w14:paraId="71A297D0">
      <w:pPr>
        <w:pStyle w:val="6"/>
        <w:tabs>
          <w:tab w:val="left" w:pos="360"/>
        </w:tabs>
        <w:ind w:left="721" w:right="964" w:hanging="721"/>
        <w:jc w:val="left"/>
        <w:rPr>
          <w:rFonts w:ascii="宋体" w:hAnsi="宋体" w:cs="宋体"/>
          <w:b/>
          <w:bCs/>
        </w:rPr>
      </w:pPr>
      <w:r>
        <w:rPr>
          <w:rFonts w:ascii="宋体" w:hAnsi="宋体" w:cs="宋体"/>
          <w:b/>
          <w:bCs/>
        </w:rPr>
        <w:t>电话：</w:t>
      </w:r>
    </w:p>
    <w:p w14:paraId="41C8E0FC">
      <w:pPr>
        <w:pStyle w:val="6"/>
        <w:tabs>
          <w:tab w:val="left" w:pos="360"/>
        </w:tabs>
        <w:ind w:left="721" w:right="964" w:hanging="721"/>
        <w:jc w:val="left"/>
        <w:rPr>
          <w:rFonts w:ascii="宋体" w:hAnsi="宋体" w:cs="宋体"/>
          <w:b/>
          <w:bCs/>
        </w:rPr>
      </w:pPr>
    </w:p>
    <w:p w14:paraId="27498FD0">
      <w:pPr>
        <w:rPr>
          <w:rFonts w:ascii="宋体" w:hAnsi="宋体" w:cs="宋体"/>
          <w:b/>
          <w:sz w:val="24"/>
        </w:rPr>
      </w:pPr>
      <w:r>
        <w:rPr>
          <w:rFonts w:ascii="宋体" w:hAnsi="宋体" w:cs="宋体"/>
          <w:b/>
          <w:sz w:val="24"/>
        </w:rPr>
        <w:t>日期：      年    月    日</w:t>
      </w:r>
    </w:p>
    <w:p w14:paraId="71D8FDC3">
      <w:pPr>
        <w:pStyle w:val="6"/>
        <w:tabs>
          <w:tab w:val="left" w:pos="360"/>
        </w:tabs>
        <w:ind w:left="718" w:right="964" w:hanging="720" w:hangingChars="299"/>
        <w:jc w:val="left"/>
        <w:rPr>
          <w:rFonts w:ascii="宋体" w:hAnsi="宋体" w:cs="宋体"/>
          <w:b/>
          <w:bCs/>
        </w:rPr>
      </w:pPr>
    </w:p>
    <w:p w14:paraId="43CADF96">
      <w:pPr>
        <w:pStyle w:val="6"/>
        <w:tabs>
          <w:tab w:val="left" w:pos="360"/>
        </w:tabs>
        <w:ind w:left="721" w:right="964" w:hanging="721"/>
        <w:jc w:val="left"/>
        <w:rPr>
          <w:rFonts w:ascii="宋体" w:hAnsi="宋体" w:cs="宋体"/>
          <w:b/>
          <w:bCs/>
        </w:rPr>
      </w:pPr>
    </w:p>
    <w:p w14:paraId="3E11782B">
      <w:pPr>
        <w:adjustRightInd w:val="0"/>
        <w:snapToGrid w:val="0"/>
        <w:spacing w:line="360" w:lineRule="auto"/>
        <w:rPr>
          <w:rFonts w:hint="default" w:ascii="宋体" w:hAnsi="宋体" w:cs="宋体"/>
          <w:b/>
          <w:sz w:val="24"/>
        </w:rPr>
        <w:sectPr>
          <w:type w:val="continuous"/>
          <w:pgSz w:w="12240" w:h="15840"/>
          <w:pgMar w:top="1440" w:right="1800" w:bottom="1440" w:left="1800" w:header="720" w:footer="720" w:gutter="0"/>
          <w:lnNumType w:countBy="0" w:distance="360"/>
          <w:cols w:space="720" w:num="2"/>
        </w:sectPr>
      </w:pPr>
    </w:p>
    <w:p w14:paraId="0C8EB7C7">
      <w:pPr>
        <w:adjustRightInd w:val="0"/>
        <w:snapToGrid w:val="0"/>
        <w:spacing w:line="360" w:lineRule="auto"/>
        <w:rPr>
          <w:rFonts w:ascii="宋体" w:hAnsi="宋体" w:cs="宋体"/>
          <w:sz w:val="24"/>
        </w:rPr>
      </w:pPr>
      <w:bookmarkStart w:id="7" w:name="_GoBack"/>
      <w:bookmarkEnd w:id="7"/>
      <w:r>
        <w:rPr>
          <w:rFonts w:ascii="宋体" w:hAnsi="宋体" w:cs="宋体"/>
          <w:b/>
          <w:sz w:val="24"/>
        </w:rPr>
        <w:br w:type="page"/>
      </w:r>
      <w:r>
        <w:rPr>
          <w:rFonts w:ascii="宋体" w:hAnsi="宋体" w:cs="宋体"/>
          <w:sz w:val="24"/>
        </w:rPr>
        <w:t>附件1.</w:t>
      </w:r>
    </w:p>
    <w:p w14:paraId="347D5604">
      <w:pPr>
        <w:adjustRightInd w:val="0"/>
        <w:snapToGrid w:val="0"/>
        <w:spacing w:line="360" w:lineRule="auto"/>
        <w:rPr>
          <w:rFonts w:ascii="宋体" w:hAnsi="宋体" w:cs="宋体"/>
          <w:b/>
          <w:bCs/>
          <w:sz w:val="24"/>
        </w:rPr>
      </w:pPr>
      <w:r>
        <w:rPr>
          <w:rFonts w:ascii="宋体" w:hAnsi="宋体" w:cs="宋体"/>
          <w:b/>
          <w:bCs/>
          <w:sz w:val="24"/>
        </w:rPr>
        <w:t>1.《单价在300元以下配件明细清单》</w:t>
      </w:r>
    </w:p>
    <w:tbl>
      <w:tblPr>
        <w:tblStyle w:val="7"/>
        <w:tblW w:w="5951" w:type="dxa"/>
        <w:tblInd w:w="93" w:type="dxa"/>
        <w:tblLayout w:type="fixed"/>
        <w:tblCellMar>
          <w:top w:w="0" w:type="dxa"/>
          <w:left w:w="108" w:type="dxa"/>
          <w:bottom w:w="0" w:type="dxa"/>
          <w:right w:w="108" w:type="dxa"/>
        </w:tblCellMar>
      </w:tblPr>
      <w:tblGrid>
        <w:gridCol w:w="1095"/>
        <w:gridCol w:w="3525"/>
        <w:gridCol w:w="1331"/>
      </w:tblGrid>
      <w:tr w14:paraId="4CFECA39">
        <w:tblPrEx>
          <w:tblCellMar>
            <w:top w:w="0" w:type="dxa"/>
            <w:left w:w="108" w:type="dxa"/>
            <w:bottom w:w="0" w:type="dxa"/>
            <w:right w:w="108" w:type="dxa"/>
          </w:tblCellMar>
        </w:tblPrEx>
        <w:trPr>
          <w:trHeight w:val="255"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2652BD1A">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序号</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466F91C0">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零件名称</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56031319">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单价（元）</w:t>
            </w:r>
          </w:p>
        </w:tc>
      </w:tr>
      <w:tr w14:paraId="241F7656">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29116ADA">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1</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642E081D">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系统温度传感器</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7EE0ECC4">
            <w:pPr>
              <w:autoSpaceDE w:val="0"/>
              <w:autoSpaceDN w:val="0"/>
              <w:adjustRightInd w:val="0"/>
              <w:spacing w:before="52" w:line="240" w:lineRule="exact"/>
              <w:ind w:left="101" w:right="-20"/>
              <w:jc w:val="center"/>
              <w:rPr>
                <w:rFonts w:ascii="宋体" w:hAnsi="宋体" w:cs="宋体"/>
                <w:spacing w:val="5"/>
                <w:w w:val="103"/>
                <w:kern w:val="0"/>
                <w:sz w:val="24"/>
              </w:rPr>
            </w:pPr>
          </w:p>
        </w:tc>
      </w:tr>
      <w:tr w14:paraId="6D4058F8">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3B209DC2">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2</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79CD21DE">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系统压力传感器</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34CFF3B8">
            <w:pPr>
              <w:autoSpaceDE w:val="0"/>
              <w:autoSpaceDN w:val="0"/>
              <w:adjustRightInd w:val="0"/>
              <w:spacing w:before="52" w:line="240" w:lineRule="exact"/>
              <w:ind w:left="101" w:right="-20"/>
              <w:jc w:val="center"/>
              <w:rPr>
                <w:rFonts w:ascii="宋体" w:hAnsi="宋体" w:cs="宋体"/>
                <w:spacing w:val="5"/>
                <w:w w:val="103"/>
                <w:kern w:val="0"/>
                <w:sz w:val="24"/>
              </w:rPr>
            </w:pPr>
          </w:p>
        </w:tc>
      </w:tr>
      <w:tr w14:paraId="160FF6B3">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79CA53BD">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3</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2D75CF02">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中间继电器</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5B1FF688">
            <w:pPr>
              <w:autoSpaceDE w:val="0"/>
              <w:autoSpaceDN w:val="0"/>
              <w:adjustRightInd w:val="0"/>
              <w:spacing w:before="52" w:line="240" w:lineRule="exact"/>
              <w:ind w:left="101" w:right="-20"/>
              <w:jc w:val="center"/>
              <w:rPr>
                <w:rFonts w:ascii="宋体" w:hAnsi="宋体" w:cs="宋体"/>
                <w:spacing w:val="5"/>
                <w:w w:val="103"/>
                <w:kern w:val="0"/>
                <w:sz w:val="24"/>
              </w:rPr>
            </w:pPr>
          </w:p>
        </w:tc>
      </w:tr>
      <w:tr w14:paraId="3524FF70">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4498A819">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4</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5C5E6B1E">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交流接触器</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1A5DDE5D">
            <w:pPr>
              <w:autoSpaceDE w:val="0"/>
              <w:autoSpaceDN w:val="0"/>
              <w:adjustRightInd w:val="0"/>
              <w:spacing w:before="52" w:line="240" w:lineRule="exact"/>
              <w:ind w:left="101" w:right="-20"/>
              <w:jc w:val="center"/>
              <w:rPr>
                <w:rFonts w:ascii="宋体" w:hAnsi="宋体" w:cs="宋体"/>
                <w:spacing w:val="5"/>
                <w:w w:val="103"/>
                <w:kern w:val="0"/>
                <w:sz w:val="24"/>
              </w:rPr>
            </w:pPr>
          </w:p>
        </w:tc>
      </w:tr>
      <w:tr w14:paraId="36BD0B5F">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16ECB52B">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5</w:t>
            </w:r>
          </w:p>
        </w:tc>
        <w:tc>
          <w:tcPr>
            <w:tcW w:w="3525" w:type="dxa"/>
            <w:tcBorders>
              <w:top w:val="single" w:color="auto" w:sz="4" w:space="0"/>
              <w:left w:val="nil"/>
              <w:bottom w:val="single" w:color="auto" w:sz="4" w:space="0"/>
              <w:right w:val="single" w:color="auto" w:sz="4" w:space="0"/>
            </w:tcBorders>
            <w:noWrap w:val="0"/>
            <w:vAlign w:val="top"/>
          </w:tcPr>
          <w:p w14:paraId="31BA3B7A">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水流保护开关</w:t>
            </w:r>
          </w:p>
        </w:tc>
        <w:tc>
          <w:tcPr>
            <w:tcW w:w="1331" w:type="dxa"/>
            <w:tcBorders>
              <w:top w:val="single" w:color="auto" w:sz="4" w:space="0"/>
              <w:left w:val="nil"/>
              <w:bottom w:val="single" w:color="auto" w:sz="4" w:space="0"/>
              <w:right w:val="single" w:color="auto" w:sz="4" w:space="0"/>
            </w:tcBorders>
            <w:noWrap w:val="0"/>
            <w:vAlign w:val="top"/>
          </w:tcPr>
          <w:p w14:paraId="6B91E72A">
            <w:pPr>
              <w:autoSpaceDE w:val="0"/>
              <w:autoSpaceDN w:val="0"/>
              <w:adjustRightInd w:val="0"/>
              <w:spacing w:before="52" w:line="240" w:lineRule="exact"/>
              <w:ind w:left="101" w:right="-20"/>
              <w:jc w:val="center"/>
              <w:rPr>
                <w:rFonts w:ascii="宋体" w:hAnsi="宋体" w:cs="宋体"/>
                <w:spacing w:val="5"/>
                <w:w w:val="103"/>
                <w:kern w:val="0"/>
                <w:sz w:val="24"/>
              </w:rPr>
            </w:pPr>
          </w:p>
        </w:tc>
      </w:tr>
      <w:tr w14:paraId="590FF386">
        <w:tblPrEx>
          <w:tblCellMar>
            <w:top w:w="0" w:type="dxa"/>
            <w:left w:w="108" w:type="dxa"/>
            <w:bottom w:w="0" w:type="dxa"/>
            <w:right w:w="108" w:type="dxa"/>
          </w:tblCellMar>
        </w:tblPrEx>
        <w:trPr>
          <w:trHeight w:val="340" w:hRule="atLeast"/>
        </w:trPr>
        <w:tc>
          <w:tcPr>
            <w:tcW w:w="1095" w:type="dxa"/>
            <w:tcBorders>
              <w:top w:val="nil"/>
              <w:left w:val="single" w:color="auto" w:sz="4" w:space="0"/>
              <w:bottom w:val="single" w:color="auto" w:sz="4" w:space="0"/>
              <w:right w:val="single" w:color="auto" w:sz="4" w:space="0"/>
            </w:tcBorders>
            <w:noWrap w:val="0"/>
            <w:vAlign w:val="top"/>
          </w:tcPr>
          <w:p w14:paraId="4A2F45CB">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6</w:t>
            </w:r>
          </w:p>
        </w:tc>
        <w:tc>
          <w:tcPr>
            <w:tcW w:w="3525" w:type="dxa"/>
            <w:tcBorders>
              <w:top w:val="nil"/>
              <w:left w:val="nil"/>
              <w:bottom w:val="single" w:color="auto" w:sz="4" w:space="0"/>
              <w:right w:val="single" w:color="auto" w:sz="4" w:space="0"/>
            </w:tcBorders>
            <w:noWrap w:val="0"/>
            <w:vAlign w:val="top"/>
          </w:tcPr>
          <w:p w14:paraId="07145A9E">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控制回路变压器</w:t>
            </w:r>
          </w:p>
        </w:tc>
        <w:tc>
          <w:tcPr>
            <w:tcW w:w="1331" w:type="dxa"/>
            <w:tcBorders>
              <w:top w:val="nil"/>
              <w:left w:val="nil"/>
              <w:bottom w:val="single" w:color="auto" w:sz="4" w:space="0"/>
              <w:right w:val="single" w:color="auto" w:sz="4" w:space="0"/>
            </w:tcBorders>
            <w:noWrap w:val="0"/>
            <w:vAlign w:val="top"/>
          </w:tcPr>
          <w:p w14:paraId="281C147D">
            <w:pPr>
              <w:autoSpaceDE w:val="0"/>
              <w:autoSpaceDN w:val="0"/>
              <w:adjustRightInd w:val="0"/>
              <w:spacing w:before="52" w:line="240" w:lineRule="exact"/>
              <w:ind w:left="101" w:right="-20"/>
              <w:jc w:val="center"/>
              <w:rPr>
                <w:rFonts w:ascii="宋体" w:hAnsi="宋体" w:cs="宋体"/>
                <w:spacing w:val="5"/>
                <w:w w:val="103"/>
                <w:kern w:val="0"/>
                <w:sz w:val="24"/>
              </w:rPr>
            </w:pPr>
          </w:p>
        </w:tc>
      </w:tr>
      <w:tr w14:paraId="2E6F614C">
        <w:tblPrEx>
          <w:tblCellMar>
            <w:top w:w="0" w:type="dxa"/>
            <w:left w:w="108" w:type="dxa"/>
            <w:bottom w:w="0" w:type="dxa"/>
            <w:right w:w="108" w:type="dxa"/>
          </w:tblCellMar>
        </w:tblPrEx>
        <w:trPr>
          <w:trHeight w:val="340" w:hRule="atLeast"/>
        </w:trPr>
        <w:tc>
          <w:tcPr>
            <w:tcW w:w="1095" w:type="dxa"/>
            <w:tcBorders>
              <w:top w:val="nil"/>
              <w:left w:val="single" w:color="auto" w:sz="4" w:space="0"/>
              <w:bottom w:val="single" w:color="auto" w:sz="4" w:space="0"/>
              <w:right w:val="single" w:color="auto" w:sz="4" w:space="0"/>
            </w:tcBorders>
            <w:noWrap w:val="0"/>
            <w:vAlign w:val="top"/>
          </w:tcPr>
          <w:p w14:paraId="61F8E3CF">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7</w:t>
            </w:r>
          </w:p>
        </w:tc>
        <w:tc>
          <w:tcPr>
            <w:tcW w:w="3525" w:type="dxa"/>
            <w:tcBorders>
              <w:top w:val="nil"/>
              <w:left w:val="nil"/>
              <w:bottom w:val="single" w:color="auto" w:sz="4" w:space="0"/>
              <w:right w:val="single" w:color="auto" w:sz="4" w:space="0"/>
            </w:tcBorders>
            <w:noWrap w:val="0"/>
            <w:vAlign w:val="top"/>
          </w:tcPr>
          <w:p w14:paraId="2F0E7051">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室内机进风过滤网</w:t>
            </w:r>
          </w:p>
        </w:tc>
        <w:tc>
          <w:tcPr>
            <w:tcW w:w="1331" w:type="dxa"/>
            <w:tcBorders>
              <w:top w:val="nil"/>
              <w:left w:val="nil"/>
              <w:bottom w:val="single" w:color="auto" w:sz="4" w:space="0"/>
              <w:right w:val="single" w:color="auto" w:sz="4" w:space="0"/>
            </w:tcBorders>
            <w:noWrap w:val="0"/>
            <w:vAlign w:val="top"/>
          </w:tcPr>
          <w:p w14:paraId="5E072230">
            <w:pPr>
              <w:autoSpaceDE w:val="0"/>
              <w:autoSpaceDN w:val="0"/>
              <w:adjustRightInd w:val="0"/>
              <w:spacing w:before="52" w:line="240" w:lineRule="exact"/>
              <w:ind w:left="101" w:right="-20"/>
              <w:jc w:val="center"/>
              <w:rPr>
                <w:rFonts w:ascii="宋体" w:hAnsi="宋体" w:cs="宋体"/>
                <w:spacing w:val="5"/>
                <w:w w:val="103"/>
                <w:kern w:val="0"/>
                <w:sz w:val="24"/>
              </w:rPr>
            </w:pPr>
          </w:p>
        </w:tc>
      </w:tr>
      <w:tr w14:paraId="1AF6632B">
        <w:tblPrEx>
          <w:tblCellMar>
            <w:top w:w="0" w:type="dxa"/>
            <w:left w:w="108" w:type="dxa"/>
            <w:bottom w:w="0" w:type="dxa"/>
            <w:right w:w="108" w:type="dxa"/>
          </w:tblCellMar>
        </w:tblPrEx>
        <w:trPr>
          <w:trHeight w:val="340" w:hRule="atLeast"/>
        </w:trPr>
        <w:tc>
          <w:tcPr>
            <w:tcW w:w="1095" w:type="dxa"/>
            <w:tcBorders>
              <w:top w:val="nil"/>
              <w:left w:val="single" w:color="auto" w:sz="4" w:space="0"/>
              <w:bottom w:val="single" w:color="auto" w:sz="4" w:space="0"/>
              <w:right w:val="single" w:color="auto" w:sz="4" w:space="0"/>
            </w:tcBorders>
            <w:noWrap w:val="0"/>
            <w:vAlign w:val="top"/>
          </w:tcPr>
          <w:p w14:paraId="52F75A55">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8</w:t>
            </w:r>
          </w:p>
        </w:tc>
        <w:tc>
          <w:tcPr>
            <w:tcW w:w="3525" w:type="dxa"/>
            <w:tcBorders>
              <w:top w:val="nil"/>
              <w:left w:val="nil"/>
              <w:bottom w:val="single" w:color="auto" w:sz="4" w:space="0"/>
              <w:right w:val="single" w:color="auto" w:sz="4" w:space="0"/>
            </w:tcBorders>
            <w:noWrap w:val="0"/>
            <w:vAlign w:val="top"/>
          </w:tcPr>
          <w:p w14:paraId="6671003F">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水系统压力表温度计</w:t>
            </w:r>
          </w:p>
        </w:tc>
        <w:tc>
          <w:tcPr>
            <w:tcW w:w="1331" w:type="dxa"/>
            <w:tcBorders>
              <w:top w:val="nil"/>
              <w:left w:val="nil"/>
              <w:bottom w:val="single" w:color="auto" w:sz="4" w:space="0"/>
              <w:right w:val="single" w:color="auto" w:sz="4" w:space="0"/>
            </w:tcBorders>
            <w:noWrap w:val="0"/>
            <w:vAlign w:val="top"/>
          </w:tcPr>
          <w:p w14:paraId="5050BA99">
            <w:pPr>
              <w:autoSpaceDE w:val="0"/>
              <w:autoSpaceDN w:val="0"/>
              <w:adjustRightInd w:val="0"/>
              <w:spacing w:before="52" w:line="240" w:lineRule="exact"/>
              <w:ind w:left="101" w:right="-20"/>
              <w:jc w:val="center"/>
              <w:rPr>
                <w:rFonts w:ascii="宋体" w:hAnsi="宋体" w:cs="宋体"/>
                <w:spacing w:val="5"/>
                <w:w w:val="103"/>
                <w:kern w:val="0"/>
                <w:sz w:val="24"/>
              </w:rPr>
            </w:pPr>
          </w:p>
        </w:tc>
      </w:tr>
      <w:tr w14:paraId="48051186">
        <w:tblPrEx>
          <w:tblCellMar>
            <w:top w:w="0" w:type="dxa"/>
            <w:left w:w="108" w:type="dxa"/>
            <w:bottom w:w="0" w:type="dxa"/>
            <w:right w:w="108" w:type="dxa"/>
          </w:tblCellMar>
        </w:tblPrEx>
        <w:trPr>
          <w:trHeight w:val="280" w:hRule="atLeast"/>
        </w:trPr>
        <w:tc>
          <w:tcPr>
            <w:tcW w:w="1095" w:type="dxa"/>
            <w:tcBorders>
              <w:top w:val="nil"/>
              <w:left w:val="single" w:color="auto" w:sz="4" w:space="0"/>
              <w:bottom w:val="single" w:color="auto" w:sz="4" w:space="0"/>
              <w:right w:val="single" w:color="auto" w:sz="4" w:space="0"/>
            </w:tcBorders>
            <w:noWrap w:val="0"/>
            <w:vAlign w:val="top"/>
          </w:tcPr>
          <w:p w14:paraId="4EAF3F13">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9</w:t>
            </w:r>
          </w:p>
        </w:tc>
        <w:tc>
          <w:tcPr>
            <w:tcW w:w="3525" w:type="dxa"/>
            <w:tcBorders>
              <w:top w:val="nil"/>
              <w:left w:val="nil"/>
              <w:bottom w:val="single" w:color="auto" w:sz="4" w:space="0"/>
              <w:right w:val="single" w:color="auto" w:sz="4" w:space="0"/>
            </w:tcBorders>
            <w:noWrap w:val="0"/>
            <w:vAlign w:val="top"/>
          </w:tcPr>
          <w:p w14:paraId="7C2DAEF3">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风机皮带</w:t>
            </w:r>
          </w:p>
        </w:tc>
        <w:tc>
          <w:tcPr>
            <w:tcW w:w="1331" w:type="dxa"/>
            <w:tcBorders>
              <w:top w:val="nil"/>
              <w:left w:val="nil"/>
              <w:bottom w:val="single" w:color="auto" w:sz="4" w:space="0"/>
              <w:right w:val="single" w:color="auto" w:sz="4" w:space="0"/>
            </w:tcBorders>
            <w:noWrap w:val="0"/>
            <w:vAlign w:val="top"/>
          </w:tcPr>
          <w:p w14:paraId="6E90DFB5">
            <w:pPr>
              <w:autoSpaceDE w:val="0"/>
              <w:autoSpaceDN w:val="0"/>
              <w:adjustRightInd w:val="0"/>
              <w:spacing w:before="52" w:line="240" w:lineRule="exact"/>
              <w:ind w:left="101" w:right="-20"/>
              <w:jc w:val="center"/>
              <w:rPr>
                <w:rFonts w:ascii="宋体" w:hAnsi="宋体" w:cs="宋体"/>
                <w:spacing w:val="5"/>
                <w:w w:val="103"/>
                <w:kern w:val="0"/>
                <w:sz w:val="24"/>
              </w:rPr>
            </w:pPr>
          </w:p>
        </w:tc>
      </w:tr>
    </w:tbl>
    <w:p w14:paraId="0595EAB0">
      <w:pPr>
        <w:adjustRightInd w:val="0"/>
        <w:snapToGrid w:val="0"/>
        <w:spacing w:line="360" w:lineRule="auto"/>
        <w:rPr>
          <w:rFonts w:ascii="宋体" w:hAnsi="宋体" w:cs="宋体"/>
          <w:sz w:val="24"/>
        </w:rPr>
      </w:pPr>
    </w:p>
    <w:p w14:paraId="5C1AC544">
      <w:pPr>
        <w:adjustRightInd w:val="0"/>
        <w:snapToGrid w:val="0"/>
        <w:spacing w:line="360" w:lineRule="auto"/>
        <w:rPr>
          <w:rFonts w:ascii="宋体" w:hAnsi="宋体" w:cs="宋体"/>
          <w:sz w:val="24"/>
        </w:rPr>
      </w:pPr>
    </w:p>
    <w:p w14:paraId="6155CD21">
      <w:pPr>
        <w:adjustRightInd w:val="0"/>
        <w:snapToGrid w:val="0"/>
        <w:spacing w:line="360" w:lineRule="auto"/>
        <w:rPr>
          <w:rFonts w:ascii="宋体" w:hAnsi="宋体" w:cs="宋体"/>
          <w:b/>
          <w:bCs/>
          <w:sz w:val="24"/>
        </w:rPr>
      </w:pPr>
      <w:r>
        <w:rPr>
          <w:rFonts w:ascii="宋体" w:hAnsi="宋体" w:cs="宋体"/>
          <w:b/>
          <w:bCs/>
          <w:sz w:val="24"/>
        </w:rPr>
        <w:t>2.《单价在50元以下配件明细清单》</w:t>
      </w:r>
    </w:p>
    <w:tbl>
      <w:tblPr>
        <w:tblStyle w:val="7"/>
        <w:tblW w:w="5951" w:type="dxa"/>
        <w:tblInd w:w="93" w:type="dxa"/>
        <w:tblLayout w:type="fixed"/>
        <w:tblCellMar>
          <w:top w:w="0" w:type="dxa"/>
          <w:left w:w="108" w:type="dxa"/>
          <w:bottom w:w="0" w:type="dxa"/>
          <w:right w:w="108" w:type="dxa"/>
        </w:tblCellMar>
      </w:tblPr>
      <w:tblGrid>
        <w:gridCol w:w="1095"/>
        <w:gridCol w:w="3525"/>
        <w:gridCol w:w="1331"/>
      </w:tblGrid>
      <w:tr w14:paraId="426EBCA4">
        <w:tblPrEx>
          <w:tblCellMar>
            <w:top w:w="0" w:type="dxa"/>
            <w:left w:w="108" w:type="dxa"/>
            <w:bottom w:w="0" w:type="dxa"/>
            <w:right w:w="108" w:type="dxa"/>
          </w:tblCellMar>
        </w:tblPrEx>
        <w:trPr>
          <w:trHeight w:val="255"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278F26F8">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序号</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59C09905">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零件名称</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0408598C">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单价（元）</w:t>
            </w:r>
          </w:p>
        </w:tc>
      </w:tr>
      <w:tr w14:paraId="40CF3F93">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4B56CF5A">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1</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183A950D">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冷凝水管</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0A09BF30">
            <w:pPr>
              <w:autoSpaceDE w:val="0"/>
              <w:autoSpaceDN w:val="0"/>
              <w:adjustRightInd w:val="0"/>
              <w:spacing w:before="52" w:line="240" w:lineRule="exact"/>
              <w:ind w:left="101" w:right="-20"/>
              <w:jc w:val="center"/>
              <w:rPr>
                <w:rFonts w:ascii="宋体" w:hAnsi="宋体" w:cs="宋体"/>
                <w:spacing w:val="5"/>
                <w:w w:val="103"/>
                <w:kern w:val="0"/>
                <w:sz w:val="24"/>
              </w:rPr>
            </w:pPr>
          </w:p>
        </w:tc>
      </w:tr>
      <w:tr w14:paraId="29414DB1">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03A1EB89">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2</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1F8B38EF">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保温帮扎带</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63EE2A05">
            <w:pPr>
              <w:autoSpaceDE w:val="0"/>
              <w:autoSpaceDN w:val="0"/>
              <w:adjustRightInd w:val="0"/>
              <w:spacing w:before="52" w:line="240" w:lineRule="exact"/>
              <w:ind w:left="101" w:right="-20"/>
              <w:jc w:val="center"/>
              <w:rPr>
                <w:rFonts w:ascii="宋体" w:hAnsi="宋体" w:cs="宋体"/>
                <w:spacing w:val="5"/>
                <w:w w:val="103"/>
                <w:kern w:val="0"/>
                <w:sz w:val="24"/>
              </w:rPr>
            </w:pPr>
          </w:p>
        </w:tc>
      </w:tr>
      <w:tr w14:paraId="174E2F32">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494032B8">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3</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19C4B206">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外风扇电机电容</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4282DCFA">
            <w:pPr>
              <w:autoSpaceDE w:val="0"/>
              <w:autoSpaceDN w:val="0"/>
              <w:adjustRightInd w:val="0"/>
              <w:spacing w:before="52" w:line="240" w:lineRule="exact"/>
              <w:ind w:left="101" w:right="-20"/>
              <w:jc w:val="center"/>
              <w:rPr>
                <w:rFonts w:ascii="宋体" w:hAnsi="宋体" w:cs="宋体"/>
                <w:spacing w:val="5"/>
                <w:w w:val="103"/>
                <w:kern w:val="0"/>
                <w:sz w:val="24"/>
              </w:rPr>
            </w:pPr>
          </w:p>
        </w:tc>
      </w:tr>
      <w:tr w14:paraId="2A7AE5BD">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5CE2A1FE">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4</w:t>
            </w:r>
          </w:p>
        </w:tc>
        <w:tc>
          <w:tcPr>
            <w:tcW w:w="3525" w:type="dxa"/>
            <w:tcBorders>
              <w:top w:val="single" w:color="auto" w:sz="4" w:space="0"/>
              <w:left w:val="single" w:color="auto" w:sz="4" w:space="0"/>
              <w:bottom w:val="single" w:color="auto" w:sz="4" w:space="0"/>
              <w:right w:val="single" w:color="auto" w:sz="4" w:space="0"/>
            </w:tcBorders>
            <w:noWrap w:val="0"/>
            <w:vAlign w:val="top"/>
          </w:tcPr>
          <w:p w14:paraId="1214C3EC">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压缩机启动电容</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58086F20">
            <w:pPr>
              <w:autoSpaceDE w:val="0"/>
              <w:autoSpaceDN w:val="0"/>
              <w:adjustRightInd w:val="0"/>
              <w:spacing w:before="52" w:line="240" w:lineRule="exact"/>
              <w:ind w:left="101" w:right="-20"/>
              <w:jc w:val="center"/>
              <w:rPr>
                <w:rFonts w:ascii="宋体" w:hAnsi="宋体" w:cs="宋体"/>
                <w:spacing w:val="5"/>
                <w:w w:val="103"/>
                <w:kern w:val="0"/>
                <w:sz w:val="24"/>
              </w:rPr>
            </w:pPr>
          </w:p>
        </w:tc>
      </w:tr>
      <w:tr w14:paraId="7190884B">
        <w:tblPrEx>
          <w:tblCellMar>
            <w:top w:w="0" w:type="dxa"/>
            <w:left w:w="108" w:type="dxa"/>
            <w:bottom w:w="0" w:type="dxa"/>
            <w:right w:w="108" w:type="dxa"/>
          </w:tblCellMar>
        </w:tblPrEx>
        <w:trPr>
          <w:trHeight w:val="340" w:hRule="atLeast"/>
        </w:trPr>
        <w:tc>
          <w:tcPr>
            <w:tcW w:w="1095" w:type="dxa"/>
            <w:tcBorders>
              <w:top w:val="single" w:color="auto" w:sz="4" w:space="0"/>
              <w:left w:val="single" w:color="auto" w:sz="4" w:space="0"/>
              <w:bottom w:val="single" w:color="auto" w:sz="4" w:space="0"/>
              <w:right w:val="single" w:color="auto" w:sz="4" w:space="0"/>
            </w:tcBorders>
            <w:noWrap w:val="0"/>
            <w:vAlign w:val="top"/>
          </w:tcPr>
          <w:p w14:paraId="7DF05B9B">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5</w:t>
            </w:r>
          </w:p>
        </w:tc>
        <w:tc>
          <w:tcPr>
            <w:tcW w:w="3525" w:type="dxa"/>
            <w:tcBorders>
              <w:top w:val="single" w:color="auto" w:sz="4" w:space="0"/>
              <w:left w:val="nil"/>
              <w:bottom w:val="single" w:color="auto" w:sz="4" w:space="0"/>
              <w:right w:val="single" w:color="auto" w:sz="4" w:space="0"/>
            </w:tcBorders>
            <w:noWrap w:val="0"/>
            <w:vAlign w:val="top"/>
          </w:tcPr>
          <w:p w14:paraId="67E90F7A">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万能遥控器</w:t>
            </w:r>
          </w:p>
        </w:tc>
        <w:tc>
          <w:tcPr>
            <w:tcW w:w="1331" w:type="dxa"/>
            <w:tcBorders>
              <w:top w:val="single" w:color="auto" w:sz="4" w:space="0"/>
              <w:left w:val="nil"/>
              <w:bottom w:val="single" w:color="auto" w:sz="4" w:space="0"/>
              <w:right w:val="single" w:color="auto" w:sz="4" w:space="0"/>
            </w:tcBorders>
            <w:noWrap w:val="0"/>
            <w:vAlign w:val="top"/>
          </w:tcPr>
          <w:p w14:paraId="5191C223">
            <w:pPr>
              <w:autoSpaceDE w:val="0"/>
              <w:autoSpaceDN w:val="0"/>
              <w:adjustRightInd w:val="0"/>
              <w:spacing w:before="52" w:line="240" w:lineRule="exact"/>
              <w:ind w:left="101" w:right="-20"/>
              <w:jc w:val="center"/>
              <w:rPr>
                <w:rFonts w:ascii="宋体" w:hAnsi="宋体" w:cs="宋体"/>
                <w:spacing w:val="5"/>
                <w:w w:val="103"/>
                <w:kern w:val="0"/>
                <w:sz w:val="24"/>
              </w:rPr>
            </w:pPr>
          </w:p>
        </w:tc>
      </w:tr>
      <w:tr w14:paraId="2697612B">
        <w:tblPrEx>
          <w:tblCellMar>
            <w:top w:w="0" w:type="dxa"/>
            <w:left w:w="108" w:type="dxa"/>
            <w:bottom w:w="0" w:type="dxa"/>
            <w:right w:w="108" w:type="dxa"/>
          </w:tblCellMar>
        </w:tblPrEx>
        <w:trPr>
          <w:trHeight w:val="340" w:hRule="atLeast"/>
        </w:trPr>
        <w:tc>
          <w:tcPr>
            <w:tcW w:w="1095" w:type="dxa"/>
            <w:tcBorders>
              <w:top w:val="nil"/>
              <w:left w:val="single" w:color="auto" w:sz="4" w:space="0"/>
              <w:bottom w:val="single" w:color="auto" w:sz="4" w:space="0"/>
              <w:right w:val="single" w:color="auto" w:sz="4" w:space="0"/>
            </w:tcBorders>
            <w:noWrap w:val="0"/>
            <w:vAlign w:val="top"/>
          </w:tcPr>
          <w:p w14:paraId="436F4EA2">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6</w:t>
            </w:r>
          </w:p>
        </w:tc>
        <w:tc>
          <w:tcPr>
            <w:tcW w:w="3525" w:type="dxa"/>
            <w:tcBorders>
              <w:top w:val="nil"/>
              <w:left w:val="nil"/>
              <w:bottom w:val="single" w:color="auto" w:sz="4" w:space="0"/>
              <w:right w:val="single" w:color="auto" w:sz="4" w:space="0"/>
            </w:tcBorders>
            <w:noWrap w:val="0"/>
            <w:vAlign w:val="top"/>
          </w:tcPr>
          <w:p w14:paraId="3747AD5B">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化霜温度传感器</w:t>
            </w:r>
          </w:p>
        </w:tc>
        <w:tc>
          <w:tcPr>
            <w:tcW w:w="1331" w:type="dxa"/>
            <w:tcBorders>
              <w:top w:val="nil"/>
              <w:left w:val="nil"/>
              <w:bottom w:val="single" w:color="auto" w:sz="4" w:space="0"/>
              <w:right w:val="single" w:color="auto" w:sz="4" w:space="0"/>
            </w:tcBorders>
            <w:noWrap w:val="0"/>
            <w:vAlign w:val="top"/>
          </w:tcPr>
          <w:p w14:paraId="26EFFAFB">
            <w:pPr>
              <w:autoSpaceDE w:val="0"/>
              <w:autoSpaceDN w:val="0"/>
              <w:adjustRightInd w:val="0"/>
              <w:spacing w:before="52" w:line="240" w:lineRule="exact"/>
              <w:ind w:left="101" w:right="-20"/>
              <w:jc w:val="center"/>
              <w:rPr>
                <w:rFonts w:ascii="宋体" w:hAnsi="宋体" w:cs="宋体"/>
                <w:spacing w:val="5"/>
                <w:w w:val="103"/>
                <w:kern w:val="0"/>
                <w:sz w:val="24"/>
              </w:rPr>
            </w:pPr>
          </w:p>
        </w:tc>
      </w:tr>
      <w:tr w14:paraId="28E09A2C">
        <w:tblPrEx>
          <w:tblCellMar>
            <w:top w:w="0" w:type="dxa"/>
            <w:left w:w="108" w:type="dxa"/>
            <w:bottom w:w="0" w:type="dxa"/>
            <w:right w:w="108" w:type="dxa"/>
          </w:tblCellMar>
        </w:tblPrEx>
        <w:trPr>
          <w:trHeight w:val="340" w:hRule="atLeast"/>
        </w:trPr>
        <w:tc>
          <w:tcPr>
            <w:tcW w:w="1095" w:type="dxa"/>
            <w:tcBorders>
              <w:top w:val="nil"/>
              <w:left w:val="single" w:color="auto" w:sz="4" w:space="0"/>
              <w:bottom w:val="single" w:color="auto" w:sz="4" w:space="0"/>
              <w:right w:val="single" w:color="auto" w:sz="4" w:space="0"/>
            </w:tcBorders>
            <w:noWrap w:val="0"/>
            <w:vAlign w:val="top"/>
          </w:tcPr>
          <w:p w14:paraId="519E3B0A">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7</w:t>
            </w:r>
          </w:p>
        </w:tc>
        <w:tc>
          <w:tcPr>
            <w:tcW w:w="3525" w:type="dxa"/>
            <w:tcBorders>
              <w:top w:val="nil"/>
              <w:left w:val="nil"/>
              <w:bottom w:val="single" w:color="auto" w:sz="4" w:space="0"/>
              <w:right w:val="single" w:color="auto" w:sz="4" w:space="0"/>
            </w:tcBorders>
            <w:noWrap w:val="0"/>
            <w:vAlign w:val="top"/>
          </w:tcPr>
          <w:p w14:paraId="064227CB">
            <w:pPr>
              <w:autoSpaceDE w:val="0"/>
              <w:autoSpaceDN w:val="0"/>
              <w:adjustRightInd w:val="0"/>
              <w:spacing w:before="52" w:line="240" w:lineRule="exact"/>
              <w:ind w:left="101" w:right="-20"/>
              <w:jc w:val="center"/>
              <w:rPr>
                <w:rFonts w:ascii="宋体" w:hAnsi="宋体" w:cs="宋体"/>
                <w:spacing w:val="5"/>
                <w:w w:val="103"/>
                <w:kern w:val="0"/>
                <w:sz w:val="24"/>
              </w:rPr>
            </w:pPr>
            <w:r>
              <w:rPr>
                <w:rFonts w:ascii="宋体" w:hAnsi="宋体" w:cs="宋体"/>
                <w:spacing w:val="5"/>
                <w:w w:val="103"/>
                <w:kern w:val="0"/>
                <w:sz w:val="24"/>
              </w:rPr>
              <w:t>2匹以内的空调制冷添加剂</w:t>
            </w:r>
          </w:p>
        </w:tc>
        <w:tc>
          <w:tcPr>
            <w:tcW w:w="1331" w:type="dxa"/>
            <w:tcBorders>
              <w:top w:val="nil"/>
              <w:left w:val="nil"/>
              <w:bottom w:val="single" w:color="auto" w:sz="4" w:space="0"/>
              <w:right w:val="single" w:color="auto" w:sz="4" w:space="0"/>
            </w:tcBorders>
            <w:noWrap w:val="0"/>
            <w:vAlign w:val="top"/>
          </w:tcPr>
          <w:p w14:paraId="3540A437">
            <w:pPr>
              <w:autoSpaceDE w:val="0"/>
              <w:autoSpaceDN w:val="0"/>
              <w:adjustRightInd w:val="0"/>
              <w:spacing w:before="52" w:line="240" w:lineRule="exact"/>
              <w:ind w:left="101" w:right="-20"/>
              <w:jc w:val="center"/>
              <w:rPr>
                <w:rFonts w:ascii="宋体" w:hAnsi="宋体" w:cs="宋体"/>
                <w:spacing w:val="5"/>
                <w:w w:val="103"/>
                <w:kern w:val="0"/>
                <w:sz w:val="24"/>
              </w:rPr>
            </w:pPr>
          </w:p>
        </w:tc>
      </w:tr>
    </w:tbl>
    <w:p w14:paraId="1D0564F5">
      <w:pPr>
        <w:adjustRightInd w:val="0"/>
        <w:snapToGrid w:val="0"/>
        <w:spacing w:line="360" w:lineRule="auto"/>
        <w:ind w:firstLine="723" w:firstLineChars="300"/>
        <w:rPr>
          <w:rFonts w:ascii="宋体" w:hAnsi="宋体" w:cs="宋体"/>
          <w:sz w:val="24"/>
        </w:rPr>
      </w:pPr>
      <w:r>
        <w:rPr>
          <w:rFonts w:ascii="宋体" w:hAnsi="宋体" w:cs="宋体"/>
          <w:b/>
          <w:bCs/>
          <w:sz w:val="24"/>
        </w:rPr>
        <w:br w:type="page"/>
      </w:r>
      <w:r>
        <w:rPr>
          <w:rFonts w:ascii="宋体" w:hAnsi="宋体" w:cs="宋体"/>
          <w:sz w:val="24"/>
        </w:rPr>
        <w:t>附件2.《维护保养计划表》</w:t>
      </w:r>
    </w:p>
    <w:p w14:paraId="7809F5EE">
      <w:pPr>
        <w:jc w:val="left"/>
        <w:rPr>
          <w:rFonts w:hint="default" w:eastAsia="Times New Roman"/>
        </w:rPr>
      </w:pPr>
    </w:p>
    <w:p w14:paraId="517B501C"/>
    <w:sectPr>
      <w:type w:val="continuous"/>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208B7"/>
    <w:rsid w:val="4092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630"/>
      </w:tabs>
      <w:ind w:left="420" w:leftChars="200"/>
      <w:jc w:val="center"/>
    </w:pPr>
    <w:rPr>
      <w:rFonts w:ascii="仿宋_GB2312" w:eastAsia="仿宋_GB2312"/>
      <w:b/>
      <w:sz w:val="32"/>
      <w:szCs w:val="32"/>
    </w:rPr>
  </w:style>
  <w:style w:type="paragraph" w:styleId="4">
    <w:name w:val="Body Text"/>
    <w:basedOn w:val="1"/>
    <w:next w:val="5"/>
    <w:unhideWhenUsed/>
    <w:qFormat/>
    <w:uiPriority w:val="99"/>
    <w:rPr>
      <w:rFonts w:hint="eastAsia"/>
      <w:sz w:val="21"/>
    </w:rPr>
  </w:style>
  <w:style w:type="paragraph" w:customStyle="1" w:styleId="5">
    <w:name w:val="TOC 11"/>
    <w:next w:val="1"/>
    <w:unhideWhenUsed/>
    <w:qFormat/>
    <w:uiPriority w:val="0"/>
    <w:pPr>
      <w:wordWrap w:val="0"/>
      <w:spacing w:after="160" w:line="278" w:lineRule="auto"/>
      <w:jc w:val="both"/>
    </w:pPr>
    <w:rPr>
      <w:rFonts w:hint="eastAsia" w:ascii="Times New Roman" w:hAnsi="Times New Roman" w:eastAsia="宋体" w:cs="Times New Roman"/>
      <w:sz w:val="21"/>
      <w:lang w:val="en-US" w:eastAsia="zh-CN" w:bidi="ar-SA"/>
    </w:rPr>
  </w:style>
  <w:style w:type="paragraph" w:styleId="6">
    <w:name w:val="Body Text Indent"/>
    <w:basedOn w:val="1"/>
    <w:qFormat/>
    <w:uiPriority w:val="0"/>
    <w:pPr>
      <w:spacing w:line="360" w:lineRule="auto"/>
      <w:ind w:left="720" w:hanging="720" w:hangingChars="300"/>
    </w:pPr>
    <w:rPr>
      <w:sz w:val="24"/>
    </w:rPr>
  </w:style>
  <w:style w:type="character" w:styleId="9">
    <w:name w:val="Strong"/>
    <w:qFormat/>
    <w:uiPriority w:val="22"/>
    <w:rPr>
      <w:rFonts w:hint="default"/>
      <w:b/>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2025-12-23T08:32:00Z</dcterms:created>
  <dc:creator>Lyn</dc:creator>
  <cp:lastModifiedBy>Lyn</cp:lastModifiedBy>
  <dcterms:modified xsi:type="dcterms:W3CDTF">2025-12-23T08:34:08Z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F29BC68239564BD78FB8A989D073AD00_11</vt:lpwstr>
  </property>
  <property fmtid="{D5CDD505-2E9C-101B-9397-08002B2CF9AE}" pid="4" name="KSOTemplateDocerSaveRecord">
    <vt:lpwstr>eyJoZGlkIjoiMzI1NTc2YjM3YjBhNGRlYTk3YmY1YzQ4ZGRhMmI5ZWUiLCJ1c2VySWQiOiI0MzA1OTk4ODEifQ==</vt:lpwstr>
  </property>
</Properties>
</file>