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6B7B0">
      <w:pPr>
        <w:keepNext/>
        <w:keepLines/>
        <w:shd w:val="clear" w:color="auto" w:fill="FFFFFF"/>
        <w:spacing w:before="100" w:beforeAutospacing="1" w:after="100" w:afterAutospacing="1" w:line="360" w:lineRule="auto"/>
        <w:outlineLvl w:val="2"/>
        <w:rPr>
          <w:rFonts w:cs="Segoe UI"/>
          <w:b/>
          <w:bCs/>
          <w:color w:val="0F1115"/>
          <w:sz w:val="24"/>
          <w:szCs w:val="24"/>
        </w:rPr>
      </w:pPr>
      <w:r>
        <w:rPr>
          <w:rFonts w:ascii="Segoe UI" w:hAnsi="Segoe UI" w:cs="Segoe UI"/>
          <w:b/>
          <w:color w:val="0F1115"/>
          <w:sz w:val="24"/>
          <w:szCs w:val="24"/>
        </w:rPr>
        <w:t>附件五：</w:t>
      </w:r>
      <w:r>
        <w:rPr>
          <w:rFonts w:ascii="Segoe UI" w:hAnsi="Segoe UI" w:cs="Segoe UI"/>
          <w:b/>
          <w:bCs/>
          <w:color w:val="0F1115"/>
          <w:sz w:val="24"/>
          <w:szCs w:val="24"/>
        </w:rPr>
        <w:t>综合评分表</w:t>
      </w:r>
      <w:r>
        <w:rPr>
          <w:rFonts w:cs="Segoe UI"/>
          <w:b/>
          <w:bCs/>
          <w:color w:val="0F1115"/>
          <w:sz w:val="24"/>
          <w:szCs w:val="24"/>
        </w:rPr>
        <w:t>（</w:t>
      </w:r>
      <w:r>
        <w:rPr>
          <w:rFonts w:cs="Segoe UI"/>
          <w:b/>
          <w:bCs/>
          <w:sz w:val="24"/>
          <w:szCs w:val="24"/>
        </w:rPr>
        <w:t>总分10</w:t>
      </w:r>
      <w:bookmarkStart w:id="0" w:name="_GoBack"/>
      <w:bookmarkEnd w:id="0"/>
      <w:r>
        <w:rPr>
          <w:rFonts w:cs="Segoe UI"/>
          <w:b/>
          <w:bCs/>
          <w:sz w:val="24"/>
          <w:szCs w:val="24"/>
        </w:rPr>
        <w:t>0分</w:t>
      </w:r>
      <w:r>
        <w:rPr>
          <w:rFonts w:cs="Segoe UI"/>
          <w:b/>
          <w:bCs/>
          <w:color w:val="0F1115"/>
          <w:sz w:val="24"/>
          <w:szCs w:val="24"/>
        </w:rPr>
        <w:t>）</w:t>
      </w:r>
    </w:p>
    <w:p w14:paraId="2E80D3FB">
      <w:pPr>
        <w:rPr>
          <w:sz w:val="24"/>
          <w:szCs w:val="24"/>
        </w:rPr>
      </w:pPr>
      <w:r>
        <w:rPr>
          <w:rFonts w:ascii="Segoe UI" w:hAnsi="Segoe UI" w:cs="Segoe UI"/>
          <w:color w:val="0F1115"/>
          <w:sz w:val="24"/>
          <w:szCs w:val="24"/>
          <w:shd w:val="clear" w:color="auto" w:fill="FFFFFF"/>
        </w:rPr>
        <w:t>项目名称：</w:t>
      </w:r>
      <w:r>
        <w:rPr>
          <w:rFonts w:ascii="Segoe UI" w:cs="Segoe UI"/>
          <w:color w:val="0F1115"/>
          <w:sz w:val="24"/>
          <w:szCs w:val="24"/>
          <w:shd w:val="clear" w:color="auto" w:fill="FFFFFF"/>
        </w:rPr>
        <w:t> </w:t>
      </w:r>
      <w:r>
        <w:rPr>
          <w:rFonts w:ascii="Segoe UI" w:hAnsi="Segoe UI"/>
          <w:color w:val="0F1115"/>
          <w:kern w:val="0"/>
          <w:sz w:val="24"/>
        </w:rPr>
        <w:t>王府井院区空调系统维护保养服务项目</w:t>
      </w:r>
    </w:p>
    <w:p w14:paraId="12C53A30">
      <w:pPr>
        <w:shd w:val="clear" w:color="auto" w:fill="FFFFFF"/>
        <w:jc w:val="left"/>
        <w:rPr>
          <w:rFonts w:ascii="Segoe UI" w:hAnsi="Segoe UI" w:cs="Segoe UI"/>
          <w:color w:val="0F1115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1349"/>
        <w:gridCol w:w="4638"/>
        <w:gridCol w:w="823"/>
        <w:gridCol w:w="858"/>
      </w:tblGrid>
      <w:tr w14:paraId="3DFF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F53C6D">
            <w:pPr>
              <w:rPr>
                <w:rFonts w:ascii="宋体" w:hAnsi="宋体" w:cs="Segoe UI"/>
                <w:bCs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Cs w:val="21"/>
              </w:rPr>
              <w:t>评分部分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9907B3">
            <w:pPr>
              <w:rPr>
                <w:rFonts w:ascii="宋体" w:hAnsi="宋体" w:cs="Segoe UI"/>
                <w:bCs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Cs w:val="21"/>
              </w:rPr>
              <w:t>评分因素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D05A52">
            <w:pPr>
              <w:rPr>
                <w:rFonts w:ascii="宋体" w:hAnsi="宋体" w:cs="Segoe UI"/>
                <w:bCs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Cs w:val="21"/>
              </w:rPr>
              <w:t>评分标准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554CDC">
            <w:pPr>
              <w:rPr>
                <w:rFonts w:ascii="宋体" w:hAnsi="宋体" w:cs="Segoe UI"/>
                <w:bCs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Cs w:val="21"/>
              </w:rPr>
              <w:t>分值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98EA04">
            <w:pPr>
              <w:rPr>
                <w:rFonts w:ascii="宋体" w:hAnsi="宋体" w:cs="Segoe UI"/>
                <w:bCs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Cs w:val="21"/>
              </w:rPr>
              <w:t>分值属性</w:t>
            </w:r>
          </w:p>
        </w:tc>
      </w:tr>
      <w:tr w14:paraId="4477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CCEF31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Cs w:val="21"/>
              </w:rPr>
              <w:t>价格部分(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10分)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E9ABB8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Cs w:val="21"/>
              </w:rPr>
              <w:t>投标报价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74DA74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宋体"/>
                <w:color w:val="0F1115"/>
                <w:kern w:val="0"/>
                <w:szCs w:val="21"/>
                <w:shd w:val="clear" w:color="auto" w:fill="FFFFFF"/>
              </w:rPr>
              <w:t>采用“低价优先法”计算：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zCs w:val="21"/>
                <w:shd w:val="clear" w:color="auto" w:fill="FFFFFF"/>
              </w:rPr>
              <w:t>得分 = (评标基准价 / 投标报价) × 价格权重分值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zCs w:val="21"/>
                <w:shd w:val="clear" w:color="auto" w:fill="FFFFFF"/>
              </w:rPr>
              <w:t>注：评标基准价是满足招标文件要求的所有有效投标报价中的最低价。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zCs w:val="21"/>
                <w:shd w:val="clear" w:color="auto" w:fill="FFFFFF"/>
              </w:rPr>
              <w:t>或</w:t>
            </w:r>
            <w:r>
              <w:rPr>
                <w:rFonts w:ascii="宋体" w:hAnsi="宋体" w:cs="Segoe UI"/>
                <w:color w:val="0F1115"/>
                <w:kern w:val="0"/>
                <w:szCs w:val="21"/>
                <w:shd w:val="clear" w:color="auto" w:fill="FFFFFF"/>
              </w:rPr>
              <w:t> </w:t>
            </w:r>
            <w:r>
              <w:rPr>
                <w:rFonts w:ascii="宋体" w:hAnsi="宋体" w:cs="宋体"/>
                <w:color w:val="0F1115"/>
                <w:kern w:val="0"/>
                <w:szCs w:val="21"/>
                <w:shd w:val="clear" w:color="auto" w:fill="FFFFFF"/>
              </w:rPr>
              <w:t>采用“价格平均法”等，需在招标文件中明确。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0F9A77">
            <w:pPr>
              <w:rPr>
                <w:rFonts w:hint="default"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539463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3A37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C267E3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Cs w:val="21"/>
              </w:rPr>
              <w:t>商务部分(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40分)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CA1141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企业综合实力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79A098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资质等级（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：具备一级/甲级资质得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分，二级/乙级得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7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分，三级/丙级得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3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分。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EDF4C8">
            <w:pPr>
              <w:rPr>
                <w:rFonts w:hint="default"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0AB866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3407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FA3CED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BBC073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Cs w:val="21"/>
              </w:rPr>
              <w:t>项目团队与配置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0257F0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(1) 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负责人（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5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：经验≥8年得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5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分，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5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年得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3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分，&lt;5年得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1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(2) 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技术团队（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：持证人员≥4名得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分，3名得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7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(3) 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品牌授权/认证（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5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：为主流品牌授权服务商或核心人员持厂家高级认证，得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5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分。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193FF1">
            <w:pPr>
              <w:rPr>
                <w:rFonts w:hint="default"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F7083A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3DC4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E6ACC9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B2A8D9">
            <w:pPr>
              <w:rPr>
                <w:rFonts w:ascii="宋体" w:hAnsi="宋体" w:cs="Segoe UI"/>
                <w:bCs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类似业绩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2373E1">
            <w:pPr>
              <w:rPr>
                <w:rFonts w:hint="default" w:ascii="宋体" w:hAnsi="宋体" w:cs="Segoe UI"/>
                <w:color w:val="0F1115"/>
                <w:szCs w:val="21"/>
                <w:shd w:val="clear" w:color="auto" w:fill="FFFFFF"/>
              </w:rPr>
            </w:pP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类似业绩（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：近三年，每提供1个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医院类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空调维保业绩（合同额≥50万）得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5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分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；每提供1个其他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大型公建类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业绩得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1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分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。本项最高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分。</w:t>
            </w:r>
          </w:p>
          <w:p w14:paraId="718F31D3">
            <w:pPr>
              <w:pStyle w:val="2"/>
              <w:ind w:left="0" w:leftChars="0"/>
              <w:jc w:val="left"/>
              <w:rPr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DABE7C">
            <w:pPr>
              <w:rPr>
                <w:rFonts w:hint="default"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6AEBD8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主观/客观</w:t>
            </w:r>
          </w:p>
        </w:tc>
      </w:tr>
      <w:tr w14:paraId="241F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672C81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Cs w:val="21"/>
              </w:rPr>
              <w:t>技术部分(50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分)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EC8FBF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维保服务方案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242128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21"/>
                <w:szCs w:val="21"/>
              </w:rPr>
              <w:t>优(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20</w:t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21"/>
                <w:szCs w:val="21"/>
              </w:rPr>
              <w:t>分)</w:t>
            </w:r>
            <w:r>
              <w:rPr>
                <w:rFonts w:ascii="宋体" w:hAnsi="宋体" w:cs="Segoe UI"/>
                <w:color w:val="0F1115"/>
                <w:szCs w:val="21"/>
              </w:rPr>
              <w:t>：方案完全针对医院诊室、手术室恒温恒湿及静音要求设计，计划详尽科学，季节转换方案具体。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21"/>
                <w:szCs w:val="21"/>
              </w:rPr>
              <w:t>良(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15</w:t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21"/>
                <w:szCs w:val="21"/>
              </w:rPr>
              <w:t>分)</w:t>
            </w:r>
            <w:r>
              <w:rPr>
                <w:rFonts w:ascii="宋体" w:hAnsi="宋体" w:cs="Segoe UI"/>
                <w:color w:val="0F1115"/>
                <w:szCs w:val="21"/>
              </w:rPr>
              <w:t>：方案完整，考虑了医院特点。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21"/>
                <w:szCs w:val="21"/>
              </w:rPr>
              <w:t>一般(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7</w:t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21"/>
                <w:szCs w:val="21"/>
              </w:rPr>
              <w:t>分)</w:t>
            </w:r>
            <w:r>
              <w:rPr>
                <w:rFonts w:ascii="宋体" w:hAnsi="宋体" w:cs="Segoe UI"/>
                <w:color w:val="0F1115"/>
                <w:szCs w:val="21"/>
              </w:rPr>
              <w:t>：方案通用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F8E3DC">
            <w:pPr>
              <w:rPr>
                <w:rFonts w:hint="default"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1EEDAA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251A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97C9FB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ED516E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 应急响应与质量保障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623ACE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21"/>
                <w:szCs w:val="21"/>
              </w:rPr>
              <w:t>优(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20</w:t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21"/>
                <w:szCs w:val="21"/>
              </w:rPr>
              <w:t>分)</w:t>
            </w:r>
            <w:r>
              <w:rPr>
                <w:rFonts w:ascii="宋体" w:hAnsi="宋体" w:cs="Segoe UI"/>
                <w:color w:val="0F1115"/>
                <w:szCs w:val="21"/>
              </w:rPr>
              <w:t>：应急流程清晰、有预案，到场及修复时间承诺优于公告要求；质控措施具体，备件储备方案详实。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21"/>
                <w:szCs w:val="21"/>
              </w:rPr>
              <w:t>良(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15</w:t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21"/>
                <w:szCs w:val="21"/>
              </w:rPr>
              <w:t>分)</w:t>
            </w:r>
            <w:r>
              <w:rPr>
                <w:rFonts w:ascii="宋体" w:hAnsi="宋体" w:cs="Segoe UI"/>
                <w:color w:val="0F1115"/>
                <w:szCs w:val="21"/>
              </w:rPr>
              <w:t>：有基本保障措施。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21"/>
                <w:szCs w:val="21"/>
              </w:rPr>
              <w:t>一般(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7</w:t>
            </w:r>
            <w:r>
              <w:rPr>
                <w:rStyle w:val="5"/>
                <w:rFonts w:hint="eastAsia" w:ascii="宋体" w:hAnsi="宋体" w:cs="Segoe UI"/>
                <w:b w:val="0"/>
                <w:color w:val="0F1115"/>
                <w:sz w:val="21"/>
                <w:szCs w:val="21"/>
              </w:rPr>
              <w:t>分)</w:t>
            </w:r>
            <w:r>
              <w:rPr>
                <w:rFonts w:ascii="宋体" w:hAnsi="宋体" w:cs="Segoe UI"/>
                <w:color w:val="0F1115"/>
                <w:szCs w:val="21"/>
              </w:rPr>
              <w:t>：方案薄弱。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A13534">
            <w:pPr>
              <w:rPr>
                <w:rFonts w:hint="default"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1CE30E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70A7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0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93B547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4C7359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Segoe UI" w:hAnsi="Segoe UI" w:cs="Segoe UI"/>
                <w:bCs/>
                <w:color w:val="0F1115"/>
                <w:szCs w:val="21"/>
                <w:shd w:val="clear" w:color="auto" w:fill="FFFFFF"/>
              </w:rPr>
              <w:t>文档管理与增值服务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C15802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优(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分)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：承诺使用电子化系统管理档案；报告模板专业，能效分析深入，提出节能改造建议。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良(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7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分)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：有规范纸质管理方案。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一般(</w:t>
            </w:r>
            <w:r>
              <w:rPr>
                <w:rFonts w:ascii="宋体" w:hAnsi="宋体" w:cs="Segoe UI"/>
                <w:color w:val="0F1115"/>
                <w:kern w:val="0"/>
                <w:szCs w:val="21"/>
              </w:rPr>
              <w:t>3</w:t>
            </w:r>
            <w:r>
              <w:rPr>
                <w:rFonts w:ascii="宋体" w:hAnsi="宋体" w:cs="Segoe UI"/>
                <w:bCs/>
                <w:color w:val="0F1115"/>
                <w:szCs w:val="21"/>
                <w:shd w:val="clear" w:color="auto" w:fill="FFFFFF"/>
              </w:rPr>
              <w:t>分)</w:t>
            </w:r>
            <w:r>
              <w:rPr>
                <w:rFonts w:ascii="宋体" w:hAnsi="宋体" w:cs="Segoe UI"/>
                <w:color w:val="0F1115"/>
                <w:szCs w:val="21"/>
                <w:shd w:val="clear" w:color="auto" w:fill="FFFFFF"/>
              </w:rPr>
              <w:t>：方案简单。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23296F">
            <w:pPr>
              <w:rPr>
                <w:rFonts w:hint="default"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D6B03E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3DDB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7874B2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Cs w:val="21"/>
              </w:rPr>
              <w:t>总分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E6B579">
            <w:pPr>
              <w:rPr>
                <w:rFonts w:ascii="宋体" w:hAnsi="宋体" w:cs="Segoe UI"/>
                <w:color w:val="0F1115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DEAC37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36BBB6">
            <w:pPr>
              <w:rPr>
                <w:rFonts w:hint="default" w:ascii="宋体" w:hAnsi="宋体" w:cs="Segoe UI"/>
                <w:color w:val="0F1115"/>
                <w:kern w:val="0"/>
                <w:szCs w:val="21"/>
              </w:rPr>
            </w:pPr>
            <w:r>
              <w:rPr>
                <w:rFonts w:ascii="宋体" w:hAnsi="宋体" w:cs="Segoe UI"/>
                <w:color w:val="0F1115"/>
                <w:kern w:val="0"/>
                <w:szCs w:val="21"/>
              </w:rPr>
              <w:t>100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33A8C746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6F450137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ascii="宋体" w:hAnsi="宋体"/>
          <w:kern w:val="0"/>
          <w:sz w:val="24"/>
          <w:szCs w:val="24"/>
        </w:rPr>
      </w:pPr>
    </w:p>
    <w:p w14:paraId="016A57A9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ascii="宋体" w:cs="Segoe UI"/>
          <w:b/>
          <w:kern w:val="0"/>
          <w:sz w:val="24"/>
          <w:szCs w:val="24"/>
        </w:rPr>
      </w:pPr>
      <w:r>
        <w:rPr>
          <w:rFonts w:ascii="Segoe UI" w:hAnsi="Segoe UI" w:cs="Segoe UI"/>
          <w:color w:val="0F1115"/>
          <w:sz w:val="24"/>
          <w:szCs w:val="24"/>
          <w:shd w:val="clear" w:color="auto" w:fill="FFFFFF"/>
        </w:rPr>
        <w:t>评审人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（签字）</w:t>
      </w:r>
      <w:r>
        <w:rPr>
          <w:rFonts w:ascii="宋体" w:hAnsi="宋体" w:cs="宋体"/>
          <w:kern w:val="0"/>
          <w:sz w:val="24"/>
          <w:szCs w:val="24"/>
        </w:rPr>
        <w:t>：</w:t>
      </w:r>
      <w:r>
        <w:rPr>
          <w:rFonts w:ascii="宋体" w:hAnsi="宋体" w:cs="宋体"/>
          <w:b/>
          <w:kern w:val="0"/>
          <w:sz w:val="24"/>
          <w:szCs w:val="24"/>
        </w:rPr>
        <w:t>_____</w:t>
      </w:r>
      <w:r>
        <w:rPr>
          <w:rFonts w:ascii="宋体" w:hAnsi="宋体" w:cs="宋体"/>
          <w:b/>
          <w:kern w:val="0"/>
          <w:sz w:val="24"/>
          <w:szCs w:val="24"/>
          <w:u w:val="single"/>
        </w:rPr>
        <w:t xml:space="preserve">                                   </w:t>
      </w:r>
      <w:r>
        <w:rPr>
          <w:rFonts w:ascii="宋体" w:hAnsi="宋体" w:cs="宋体"/>
          <w:b/>
          <w:kern w:val="0"/>
          <w:sz w:val="24"/>
          <w:szCs w:val="24"/>
        </w:rPr>
        <w:t>___</w:t>
      </w:r>
      <w:r>
        <w:rPr>
          <w:rFonts w:ascii="宋体" w:hAnsi="宋体" w:cs="宋体"/>
          <w:b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b/>
          <w:kern w:val="0"/>
          <w:sz w:val="24"/>
          <w:szCs w:val="24"/>
        </w:rPr>
        <w:t>_____</w:t>
      </w:r>
      <w:r>
        <w:rPr>
          <w:rFonts w:ascii="Segoe UI" w:hAnsi="Segoe UI" w:cs="Segoe UI"/>
          <w:color w:val="0F1115"/>
          <w:sz w:val="24"/>
          <w:szCs w:val="24"/>
          <w:shd w:val="clear" w:color="auto" w:fill="FFFFFF"/>
        </w:rPr>
        <w:t>评审</w:t>
      </w:r>
      <w:r>
        <w:rPr>
          <w:rFonts w:ascii="宋体" w:hAnsi="宋体" w:cs="宋体"/>
          <w:kern w:val="0"/>
          <w:sz w:val="24"/>
          <w:szCs w:val="24"/>
        </w:rPr>
        <w:t>日期:_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kern w:val="0"/>
          <w:sz w:val="24"/>
          <w:szCs w:val="24"/>
        </w:rPr>
        <w:t>___年_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_月_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_日</w:t>
      </w:r>
    </w:p>
    <w:p w14:paraId="2F2AA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4690E"/>
    <w:rsid w:val="10C4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character" w:styleId="5">
    <w:name w:val="Strong"/>
    <w:qFormat/>
    <w:uiPriority w:val="22"/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2025-12-23T08:32:00Z</dcterms:created>
  <dc:creator>Lyn</dc:creator>
  <cp:lastModifiedBy>Lyn</cp:lastModifiedBy>
  <dcterms:modified xsi:type="dcterms:W3CDTF">2025-12-23T08:33:51Z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30E0723FC3B944C5ADC71CEC6F731F6F_11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