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5B12">
      <w:pPr>
        <w:shd w:val="clear" w:color="auto" w:fill="FFFFFF"/>
        <w:spacing w:before="480" w:after="240" w:line="360" w:lineRule="auto"/>
        <w:contextualSpacing/>
        <w:jc w:val="left"/>
        <w:outlineLvl w:val="2"/>
        <w:rPr>
          <w:color w:val="0F1115"/>
          <w:sz w:val="28"/>
          <w:szCs w:val="28"/>
        </w:rPr>
      </w:pPr>
      <w:bookmarkStart w:id="0" w:name="OLE_LINK9"/>
      <w:bookmarkStart w:id="1" w:name="OLE_LINK8"/>
      <w:r>
        <w:rPr>
          <w:rFonts w:hint="eastAsia" w:ascii="宋体" w:hAnsi="宋体" w:cs="Segoe UI"/>
          <w:b/>
          <w:bCs/>
          <w:kern w:val="0"/>
          <w:sz w:val="28"/>
          <w:szCs w:val="28"/>
        </w:rPr>
        <w:t>附件五：</w:t>
      </w:r>
      <w:bookmarkEnd w:id="0"/>
      <w:bookmarkEnd w:id="1"/>
      <w:r>
        <w:rPr>
          <w:rFonts w:ascii="Segoe UI" w:hAnsi="Segoe UI" w:cs="Segoe UI"/>
          <w:color w:val="0F1115"/>
          <w:sz w:val="28"/>
          <w:szCs w:val="28"/>
        </w:rPr>
        <w:t>综合评分表</w:t>
      </w:r>
      <w:r>
        <w:rPr>
          <w:color w:val="0F1115"/>
          <w:sz w:val="28"/>
          <w:szCs w:val="28"/>
        </w:rPr>
        <w:t>（</w:t>
      </w:r>
      <w:r>
        <w:rPr>
          <w:sz w:val="28"/>
          <w:szCs w:val="28"/>
        </w:rPr>
        <w:t>总分100分</w:t>
      </w:r>
      <w:r>
        <w:rPr>
          <w:color w:val="0F1115"/>
          <w:sz w:val="28"/>
          <w:szCs w:val="28"/>
        </w:rPr>
        <w:t>）</w:t>
      </w:r>
    </w:p>
    <w:p w14:paraId="4818C87A">
      <w:pPr>
        <w:pStyle w:val="2"/>
        <w:rPr>
          <w:rFonts w:hint="eastAsia"/>
          <w:sz w:val="28"/>
          <w:szCs w:val="28"/>
        </w:rPr>
      </w:pPr>
      <w:r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项目名称：</w:t>
      </w:r>
      <w:r>
        <w:rPr>
          <w:rFonts w:ascii="Segoe UI" w:cs="Segoe UI"/>
          <w:color w:val="0F1115"/>
          <w:sz w:val="28"/>
          <w:szCs w:val="28"/>
          <w:shd w:val="clear" w:color="auto" w:fill="FFFFFF"/>
        </w:rPr>
        <w:t> </w:t>
      </w:r>
      <w:r>
        <w:rPr>
          <w:rFonts w:hint="eastAsia"/>
          <w:sz w:val="28"/>
          <w:szCs w:val="28"/>
        </w:rPr>
        <w:t>王府井院区非居民其他垃圾运输消纳服务项目</w:t>
      </w:r>
    </w:p>
    <w:p w14:paraId="1EA30E97">
      <w:pPr>
        <w:pStyle w:val="2"/>
        <w:rPr>
          <w:rFonts w:hint="eastAsia"/>
        </w:rPr>
      </w:pP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11"/>
        <w:gridCol w:w="4967"/>
        <w:gridCol w:w="992"/>
        <w:gridCol w:w="987"/>
      </w:tblGrid>
      <w:tr w14:paraId="3867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41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5DBF7A">
            <w:pPr>
              <w:spacing w:line="360" w:lineRule="auto"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bookmarkStart w:id="2" w:name="OLE_LINK21"/>
            <w:bookmarkStart w:id="3" w:name="OLE_LINK20"/>
            <w:r>
              <w:rPr>
                <w:rFonts w:ascii="宋体" w:hAnsi="宋体" w:cs="Arial"/>
                <w:b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评分部分</w:t>
            </w:r>
          </w:p>
        </w:tc>
        <w:tc>
          <w:tcPr>
            <w:tcW w:w="141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F36D3B">
            <w:pPr>
              <w:spacing w:line="360" w:lineRule="auto"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评分因素</w:t>
            </w:r>
          </w:p>
        </w:tc>
        <w:tc>
          <w:tcPr>
            <w:tcW w:w="496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A15CB7">
            <w:pPr>
              <w:spacing w:line="360" w:lineRule="auto"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评分标准</w:t>
            </w: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D438D4">
            <w:pPr>
              <w:spacing w:line="360" w:lineRule="auto"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987" w:type="dxa"/>
            <w:noWrap w:val="0"/>
            <w:vAlign w:val="center"/>
          </w:tcPr>
          <w:p w14:paraId="6C7E9AAF">
            <w:pPr>
              <w:spacing w:line="360" w:lineRule="auto"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分值</w:t>
            </w:r>
            <w:r>
              <w:rPr>
                <w:rFonts w:ascii="宋体" w:hAnsi="宋体" w:cs="宋体"/>
                <w:b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属性</w:t>
            </w:r>
          </w:p>
        </w:tc>
      </w:tr>
      <w:tr w14:paraId="42F7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D212C0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价格部分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lang w:eastAsia="en-US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(</w:t>
            </w:r>
            <w:r>
              <w:rPr>
                <w:rStyle w:val="6"/>
                <w:rFonts w:hint="eastAsia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10</w:t>
            </w:r>
            <w:r>
              <w:rPr>
                <w:rStyle w:val="6"/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</w:t>
            </w: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A6D1F3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496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87858B">
            <w:pPr>
              <w:spacing w:line="360" w:lineRule="auto"/>
              <w:contextualSpacing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采用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“</w:t>
            </w:r>
            <w:r>
              <w:rPr>
                <w:rFonts w:hint="eastAsia"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低价优先法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hint="eastAsia"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计算：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微软雅黑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得分</w:t>
            </w: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 xml:space="preserve"> = (</w:t>
            </w:r>
            <w:r>
              <w:rPr>
                <w:rFonts w:hint="eastAsia" w:ascii="宋体" w:hAnsi="宋体" w:cs="微软雅黑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评标基准价</w:t>
            </w: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hint="eastAsia" w:ascii="宋体" w:hAnsi="宋体" w:cs="微软雅黑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投标报价</w:t>
            </w: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 xml:space="preserve">) × </w:t>
            </w:r>
            <w:r>
              <w:rPr>
                <w:rFonts w:hint="eastAsia" w:ascii="宋体" w:hAnsi="宋体" w:cs="微软雅黑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价格权重分值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微软雅黑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注：</w:t>
            </w:r>
            <w:r>
              <w:rPr>
                <w:rFonts w:hint="eastAsia"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评标基准价是满足招标文件要求的所有有效投标报价中的最低价。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微软雅黑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或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hint="eastAsia"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采用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“</w:t>
            </w:r>
            <w:r>
              <w:rPr>
                <w:rFonts w:hint="eastAsia"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价格平均法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hint="eastAsia"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等，需在招标文件中明确</w:t>
            </w:r>
            <w:r>
              <w:rPr>
                <w:rFonts w:hint="eastAsia"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。</w:t>
            </w: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01E32F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10</w:t>
            </w:r>
          </w:p>
        </w:tc>
        <w:tc>
          <w:tcPr>
            <w:tcW w:w="987" w:type="dxa"/>
            <w:noWrap w:val="0"/>
            <w:vAlign w:val="center"/>
          </w:tcPr>
          <w:p w14:paraId="27DBC779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客观</w:t>
            </w:r>
          </w:p>
        </w:tc>
      </w:tr>
      <w:tr w14:paraId="5547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9" w:type="dxa"/>
            <w:vMerge w:val="restart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3E0949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商务部分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lang w:eastAsia="en-US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(</w:t>
            </w:r>
            <w:r>
              <w:rPr>
                <w:rStyle w:val="6"/>
                <w:sz w:val="18"/>
                <w:szCs w:val="18"/>
              </w:rPr>
              <w:t>50分</w:t>
            </w: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FF8D38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企业综合实力</w:t>
            </w:r>
          </w:p>
        </w:tc>
        <w:tc>
          <w:tcPr>
            <w:tcW w:w="496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3298E3">
            <w:pPr>
              <w:spacing w:line="360" w:lineRule="auto"/>
              <w:contextualSpacing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1. 注册资本/实缴资本（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≥200万元得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分；100万元（含）-200万元得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分；100万元以下得</w:t>
            </w:r>
            <w:r>
              <w:rPr>
                <w:rFonts w:hint="eastAsia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2. 本地化服务能力（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在东城区或邻近区域（如东城、朝阳、崇文等）设有固定经营场所或服务车队（提供证明材料），得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分；仅在其他区县得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分；无相关证明得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BE0F3F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5C46024F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客观</w:t>
            </w:r>
          </w:p>
        </w:tc>
      </w:tr>
      <w:tr w14:paraId="5F19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9" w:type="dxa"/>
            <w:vMerge w:val="continue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34B925">
            <w:pPr>
              <w:spacing w:line="360" w:lineRule="auto"/>
              <w:contextualSpacing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9758C0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类似项目业绩</w:t>
            </w:r>
          </w:p>
        </w:tc>
        <w:tc>
          <w:tcPr>
            <w:tcW w:w="496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8CFC30">
            <w:pPr>
              <w:spacing w:line="360" w:lineRule="auto"/>
              <w:jc w:val="left"/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在满足资格要求（2项）的基础上，每增加1项近三年（2023年至今）为</w:t>
            </w:r>
            <w:r>
              <w:rPr>
                <w:rStyle w:val="6"/>
                <w:rFonts w:ascii="宋体" w:hAnsi="宋体" w:cs="Segoe UI"/>
                <w:b w:val="0"/>
                <w:color w:val="0F1115"/>
                <w:sz w:val="18"/>
                <w:szCs w:val="18"/>
              </w:rPr>
              <w:t>三甲医院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提供生活垃圾清运服务的有效合同业绩，得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5</w:t>
            </w:r>
            <w:r>
              <w:rPr>
                <w:rStyle w:val="6"/>
                <w:rFonts w:ascii="宋体" w:hAnsi="宋体" w:cs="Segoe UI"/>
                <w:b w:val="0"/>
                <w:color w:val="0F1115"/>
                <w:sz w:val="18"/>
                <w:szCs w:val="18"/>
              </w:rPr>
              <w:t>分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；每增加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一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项为</w:t>
            </w:r>
            <w:r>
              <w:rPr>
                <w:rStyle w:val="6"/>
                <w:rFonts w:ascii="宋体" w:hAnsi="宋体" w:cs="Segoe UI"/>
                <w:b w:val="0"/>
                <w:color w:val="0F1115"/>
                <w:sz w:val="18"/>
                <w:szCs w:val="18"/>
              </w:rPr>
              <w:t>其他医疗机构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提供的类似业绩，得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Style w:val="6"/>
                <w:rFonts w:ascii="宋体" w:hAnsi="宋体" w:cs="Segoe UI"/>
                <w:b w:val="0"/>
                <w:color w:val="0F1115"/>
                <w:sz w:val="18"/>
                <w:szCs w:val="18"/>
              </w:rPr>
              <w:t>分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。本项累计最高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Style w:val="6"/>
                <w:rFonts w:ascii="宋体" w:hAnsi="宋体" w:cs="Segoe UI"/>
                <w:b w:val="0"/>
                <w:color w:val="0F1115"/>
                <w:sz w:val="18"/>
                <w:szCs w:val="18"/>
              </w:rPr>
              <w:t>分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。（须提供合同及发票复印件）</w:t>
            </w:r>
          </w:p>
          <w:p w14:paraId="3886D03C">
            <w:pPr>
              <w:spacing w:line="360" w:lineRule="auto"/>
              <w:contextualSpacing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2035D2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10</w:t>
            </w:r>
          </w:p>
        </w:tc>
        <w:tc>
          <w:tcPr>
            <w:tcW w:w="987" w:type="dxa"/>
            <w:noWrap w:val="0"/>
            <w:vAlign w:val="center"/>
          </w:tcPr>
          <w:p w14:paraId="006F2FCA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客观</w:t>
            </w:r>
          </w:p>
        </w:tc>
      </w:tr>
      <w:tr w14:paraId="3B1C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9" w:type="dxa"/>
            <w:vMerge w:val="continue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F0C89B">
            <w:pPr>
              <w:spacing w:line="360" w:lineRule="auto"/>
              <w:contextualSpacing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F58C90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项目团队配置</w:t>
            </w:r>
          </w:p>
        </w:tc>
        <w:tc>
          <w:tcPr>
            <w:tcW w:w="496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A8931B">
            <w:pPr>
              <w:spacing w:line="360" w:lineRule="auto"/>
              <w:contextualSpacing/>
              <w:jc w:val="left"/>
              <w:rPr>
                <w:rFonts w:ascii="宋体" w:hAnsi="宋体" w:cs="Segoe UI"/>
                <w:color w:val="0F1115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1. 项目负责人（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拟派项目负责人具有3年以上垃圾清运项目管理经验得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分，每增加1年加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分，本小项最高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分。（提供简历、社保证明等）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2. 作业人员保障（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承诺为本项目配置固定且经过专业培训的清运作业人员（提供名单及培训证明），并制定排班与替岗方案，方案合理完善得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分，基本合理得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分，无方案得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60F8BC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736F48A9">
            <w:pPr>
              <w:spacing w:line="360" w:lineRule="auto"/>
              <w:contextualSpacing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Style w:val="6"/>
                <w:rFonts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主客观结合</w:t>
            </w:r>
          </w:p>
        </w:tc>
      </w:tr>
      <w:tr w14:paraId="1884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7" w:hRule="atLeast"/>
          <w:jc w:val="center"/>
        </w:trPr>
        <w:tc>
          <w:tcPr>
            <w:tcW w:w="1419" w:type="dxa"/>
            <w:vMerge w:val="restart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DD9743">
            <w:pPr>
              <w:kinsoku w:val="0"/>
              <w:autoSpaceDE w:val="0"/>
              <w:autoSpaceDN w:val="0"/>
              <w:adjustRightInd w:val="0"/>
              <w:spacing w:before="101" w:line="360" w:lineRule="auto"/>
              <w:contextualSpacing/>
              <w:jc w:val="center"/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hint="eastAsia"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技术部分</w:t>
            </w:r>
          </w:p>
          <w:p w14:paraId="73C83E4A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(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40</w:t>
            </w:r>
            <w:r>
              <w:rPr>
                <w:rFonts w:hint="eastAsia"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分</w:t>
            </w: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2BC87B">
            <w:pPr>
              <w:spacing w:line="360" w:lineRule="auto"/>
              <w:contextualSpacing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Style w:val="6"/>
                <w:rFonts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服务方案与理解</w:t>
            </w:r>
          </w:p>
        </w:tc>
        <w:tc>
          <w:tcPr>
            <w:tcW w:w="496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E4FA63">
            <w:pPr>
              <w:spacing w:line="360" w:lineRule="auto"/>
              <w:contextualSpacing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优（</w:t>
            </w: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方案完全针对医疗机构场景，对垃圾分类检查、医疗废物防范、院区交通人流特点分析透彻，流程设计严谨、操作性强。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良（</w:t>
            </w:r>
            <w:r>
              <w:rPr>
                <w:rFonts w:hint="eastAsia"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15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方案针对性较强，流程清晰，基本满足院区要求。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一般（</w:t>
            </w: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方案为通用模板，有一定流程但缺乏深度。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差（</w:t>
            </w: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方案空洞、敷衍，无针对性。</w:t>
            </w: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B80BAC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5106F2B0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主观</w:t>
            </w:r>
          </w:p>
        </w:tc>
      </w:tr>
      <w:tr w14:paraId="7E36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9" w:type="dxa"/>
            <w:vMerge w:val="continue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F0C3C6">
            <w:pPr>
              <w:spacing w:line="360" w:lineRule="auto"/>
              <w:contextualSpacing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A3ADE4">
            <w:pPr>
              <w:spacing w:line="360" w:lineRule="auto"/>
              <w:contextualSpacing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清运作业与应急预案</w:t>
            </w:r>
          </w:p>
        </w:tc>
        <w:tc>
          <w:tcPr>
            <w:tcW w:w="496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5B8B82">
            <w:pPr>
              <w:spacing w:line="360" w:lineRule="auto"/>
              <w:contextualSpacing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优（</w:t>
            </w: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清运时间安排（含替代方案）科学，对医疗秩序影响最小；应急预案（如车辆故障、人员缺勤、疫情升级等）全面、具体、可操作性强。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良（</w:t>
            </w: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时间安排合理，有基本应急预案。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一般</w:t>
            </w:r>
            <w:r>
              <w:rPr>
                <w:rFonts w:hint="eastAsia"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（7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时间安排或应急预案简单。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差（</w:t>
            </w: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未提供或敷衍。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Style w:val="6"/>
                <w:rFonts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差（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0</w:t>
            </w:r>
            <w:r>
              <w:rPr>
                <w:rStyle w:val="6"/>
                <w:rFonts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无具体方案或过于空泛。</w:t>
            </w: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FD7FD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194B035E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主观</w:t>
            </w:r>
          </w:p>
        </w:tc>
      </w:tr>
      <w:tr w14:paraId="510A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gridSpan w:val="2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184DA8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总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评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分</w:t>
            </w:r>
          </w:p>
        </w:tc>
        <w:tc>
          <w:tcPr>
            <w:tcW w:w="496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91FF08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01293C">
            <w:pPr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100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分</w:t>
            </w:r>
          </w:p>
        </w:tc>
        <w:tc>
          <w:tcPr>
            <w:tcW w:w="987" w:type="dxa"/>
            <w:noWrap w:val="0"/>
            <w:vAlign w:val="center"/>
          </w:tcPr>
          <w:p w14:paraId="40713F41">
            <w:pPr>
              <w:spacing w:line="360" w:lineRule="auto"/>
              <w:contextualSpacing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bookmarkEnd w:id="2"/>
      <w:bookmarkEnd w:id="3"/>
    </w:tbl>
    <w:p w14:paraId="22347CF4">
      <w:pPr>
        <w:spacing w:line="360" w:lineRule="auto"/>
        <w:contextualSpacing/>
        <w:rPr>
          <w:rFonts w:ascii="楷体" w:hAnsi="楷体" w:eastAsia="楷体" w:cs="楷体"/>
          <w:b/>
          <w:bCs/>
          <w:color w:val="000000"/>
          <w:spacing w:val="7"/>
          <w:kern w:val="0"/>
          <w:sz w:val="24"/>
        </w:rPr>
      </w:pPr>
    </w:p>
    <w:p w14:paraId="7DC36858">
      <w:pPr>
        <w:shd w:val="clear" w:color="auto" w:fill="FFFFFF"/>
        <w:spacing w:before="240" w:after="240" w:line="360" w:lineRule="auto"/>
        <w:jc w:val="left"/>
        <w:rPr>
          <w:rFonts w:hint="eastAsia" w:ascii="宋体"/>
          <w:b/>
          <w:kern w:val="0"/>
          <w:sz w:val="24"/>
        </w:rPr>
      </w:pPr>
      <w:r>
        <w:rPr>
          <w:rStyle w:val="6"/>
          <w:rFonts w:hint="eastAsia" w:ascii="Segoe UI" w:hAnsi="Segoe UI"/>
          <w:b w:val="0"/>
          <w:color w:val="0F1115"/>
          <w:sz w:val="24"/>
          <w:shd w:val="clear" w:color="auto" w:fill="FFFFFF"/>
        </w:rPr>
        <w:t>评审人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（签字）</w:t>
      </w:r>
      <w:r>
        <w:rPr>
          <w:rFonts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b/>
          <w:kern w:val="0"/>
          <w:sz w:val="24"/>
          <w:szCs w:val="24"/>
        </w:rPr>
        <w:t>________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Style w:val="6"/>
          <w:rFonts w:hint="eastAsia" w:ascii="Segoe UI" w:hAnsi="Segoe UI"/>
          <w:b w:val="0"/>
          <w:color w:val="0F1115"/>
          <w:sz w:val="24"/>
          <w:shd w:val="clear" w:color="auto" w:fill="FFFFFF"/>
        </w:rPr>
        <w:t>评审</w:t>
      </w:r>
      <w:r>
        <w:rPr>
          <w:rFonts w:ascii="宋体" w:hAnsi="宋体" w:cs="宋体"/>
          <w:kern w:val="0"/>
          <w:sz w:val="24"/>
          <w:szCs w:val="24"/>
        </w:rPr>
        <w:t>日期:_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>___年_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_月_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_日</w:t>
      </w:r>
    </w:p>
    <w:p w14:paraId="42C7EA28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036D2"/>
    <w:rsid w:val="7330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2025-12-22T06:07:00Z</dcterms:created>
  <dc:creator>Lyn</dc:creator>
  <cp:lastModifiedBy>Lyn</cp:lastModifiedBy>
  <dcterms:modified xsi:type="dcterms:W3CDTF">2025-12-22T06:08:26Z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ECF084AAA6074D91B0C2223DB7C9BB4B_11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