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186E">
      <w:pPr>
        <w:pStyle w:val="2"/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hint="default" w:ascii="宋体" w:hAnsi="宋体" w:cs="Segoe UI"/>
          <w:color w:val="0F1115"/>
          <w:sz w:val="24"/>
          <w:szCs w:val="24"/>
        </w:rPr>
      </w:pPr>
      <w:r>
        <w:rPr>
          <w:rFonts w:ascii="宋体" w:hAnsi="宋体" w:cs="Segoe UI"/>
          <w:sz w:val="24"/>
          <w:szCs w:val="24"/>
        </w:rPr>
        <w:t>附件五：</w:t>
      </w:r>
      <w:r>
        <w:rPr>
          <w:rFonts w:ascii="宋体" w:hAnsi="宋体" w:cs="Segoe UI"/>
          <w:color w:val="0F1115"/>
          <w:sz w:val="24"/>
          <w:szCs w:val="24"/>
        </w:rPr>
        <w:t>综合评分表（</w:t>
      </w:r>
      <w:r>
        <w:rPr>
          <w:rFonts w:ascii="宋体" w:hAnsi="宋体" w:cs="Segoe UI"/>
          <w:sz w:val="24"/>
          <w:szCs w:val="24"/>
        </w:rPr>
        <w:t>总分</w:t>
      </w:r>
      <w:r>
        <w:rPr>
          <w:rFonts w:hint="default" w:ascii="宋体" w:hAnsi="宋体" w:cs="Segoe UI"/>
          <w:sz w:val="24"/>
          <w:szCs w:val="24"/>
        </w:rPr>
        <w:t>100</w:t>
      </w:r>
      <w:r>
        <w:rPr>
          <w:rFonts w:ascii="宋体" w:hAnsi="宋体" w:cs="Segoe UI"/>
          <w:sz w:val="24"/>
          <w:szCs w:val="24"/>
        </w:rPr>
        <w:t>分</w:t>
      </w:r>
      <w:r>
        <w:rPr>
          <w:rFonts w:ascii="宋体" w:hAnsi="宋体" w:cs="Segoe UI"/>
          <w:color w:val="0F1115"/>
          <w:sz w:val="24"/>
          <w:szCs w:val="24"/>
        </w:rPr>
        <w:t>）</w:t>
      </w:r>
      <w:bookmarkStart w:id="2" w:name="_GoBack"/>
      <w:bookmarkEnd w:id="2"/>
    </w:p>
    <w:p w14:paraId="393FEC4E">
      <w:pPr>
        <w:pStyle w:val="2"/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hint="default" w:ascii="宋体" w:hAnsi="宋体" w:cs="Segoe UI"/>
          <w:b w:val="0"/>
          <w:color w:val="0F1115"/>
          <w:sz w:val="24"/>
          <w:szCs w:val="24"/>
          <w:shd w:val="clear" w:color="auto" w:fill="FFFFFF"/>
        </w:rPr>
      </w:pPr>
      <w:r>
        <w:rPr>
          <w:rFonts w:ascii="宋体" w:hAnsi="宋体" w:cs="Segoe UI"/>
          <w:b w:val="0"/>
          <w:color w:val="0F1115"/>
          <w:sz w:val="24"/>
          <w:szCs w:val="24"/>
          <w:shd w:val="clear" w:color="auto" w:fill="FFFFFF"/>
        </w:rPr>
        <w:t>项目名称：</w:t>
      </w:r>
      <w:r>
        <w:rPr>
          <w:rFonts w:ascii="宋体" w:hAnsi="宋体"/>
          <w:b w:val="0"/>
          <w:sz w:val="24"/>
          <w:szCs w:val="24"/>
        </w:rPr>
        <w:t>王府井院区污水监测服务</w:t>
      </w:r>
      <w:r>
        <w:rPr>
          <w:rStyle w:val="5"/>
          <w:rFonts w:hint="eastAsia" w:ascii="宋体" w:hAnsi="宋体" w:cs="Segoe UI"/>
          <w:b w:val="0"/>
          <w:color w:val="0F1115"/>
          <w:shd w:val="clear" w:color="auto" w:fill="FFFFFF"/>
        </w:rPr>
        <w:t>项目</w:t>
      </w:r>
    </w:p>
    <w:tbl>
      <w:tblPr>
        <w:tblStyle w:val="3"/>
        <w:tblW w:w="13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832"/>
        <w:gridCol w:w="8374"/>
        <w:gridCol w:w="1112"/>
        <w:gridCol w:w="987"/>
      </w:tblGrid>
      <w:tr w14:paraId="344F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396330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bookmarkStart w:id="0" w:name="OLE_LINK21"/>
            <w:bookmarkStart w:id="1" w:name="OLE_LINK20"/>
            <w:r>
              <w:rPr>
                <w:rFonts w:ascii="宋体" w:hAnsi="宋体" w:cs="宋体"/>
                <w:color w:val="000000"/>
                <w:spacing w:val="-3"/>
                <w:kern w:val="0"/>
                <w:lang w:eastAsia="en-US"/>
              </w:rPr>
              <w:t>评分部分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B39B38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-3"/>
                <w:kern w:val="0"/>
                <w:lang w:eastAsia="en-US"/>
              </w:rPr>
              <w:t>评分因素</w:t>
            </w:r>
          </w:p>
        </w:tc>
        <w:tc>
          <w:tcPr>
            <w:tcW w:w="83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B3E024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-3"/>
                <w:kern w:val="0"/>
                <w:lang w:eastAsia="en-US"/>
              </w:rPr>
              <w:t>评分标准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FBAAF8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分值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D56C3B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7"/>
                <w:kern w:val="0"/>
                <w:lang w:eastAsia="en-US"/>
              </w:rPr>
              <w:t>分值</w:t>
            </w:r>
            <w:r>
              <w:rPr>
                <w:rFonts w:ascii="宋体" w:hAnsi="宋体" w:cs="宋体"/>
                <w:snapToGrid w:val="0"/>
                <w:color w:val="000000"/>
                <w:spacing w:val="-6"/>
                <w:kern w:val="0"/>
                <w:lang w:eastAsia="en-US"/>
              </w:rPr>
              <w:t>属性</w:t>
            </w:r>
          </w:p>
        </w:tc>
      </w:tr>
      <w:tr w14:paraId="0B4E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30ACBF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价格部分</w:t>
            </w:r>
            <w:r>
              <w:rPr>
                <w:rFonts w:cs="宋体"/>
                <w:color w:val="0F1115"/>
                <w:kern w:val="0"/>
                <w:lang w:eastAsia="en-US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(</w:t>
            </w:r>
            <w:r>
              <w:rPr>
                <w:rStyle w:val="5"/>
                <w:rFonts w:hint="eastAsia" w:ascii="宋体" w:hAnsi="宋体" w:cs="宋体"/>
                <w:b w:val="0"/>
                <w:color w:val="0F1115"/>
                <w:sz w:val="21"/>
                <w:szCs w:val="21"/>
                <w:shd w:val="clear" w:color="auto" w:fill="FFFFFF"/>
              </w:rPr>
              <w:t>10分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394577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投标报价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0C032D">
            <w:pPr>
              <w:spacing w:line="360" w:lineRule="auto"/>
              <w:jc w:val="left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采用“低价优先法”计算：</w:t>
            </w:r>
            <w:r>
              <w:rPr>
                <w:rFonts w:cs="宋体"/>
                <w:color w:val="0F1115"/>
                <w:kern w:val="0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得分 = (评标基准价 / 投标报价) × 价格权重分值</w:t>
            </w:r>
            <w:r>
              <w:rPr>
                <w:rFonts w:cs="宋体"/>
                <w:color w:val="0F1115"/>
                <w:kern w:val="0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注：评标基准价是满足招标文件要求的所有有效投标报价中的最低价。</w:t>
            </w:r>
            <w:r>
              <w:rPr>
                <w:rFonts w:cs="宋体"/>
                <w:color w:val="0F1115"/>
                <w:kern w:val="0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或</w:t>
            </w:r>
            <w:r>
              <w:rPr>
                <w:rFonts w:cs="宋体"/>
                <w:color w:val="0F1115"/>
                <w:kern w:val="0"/>
                <w:shd w:val="clear" w:color="auto" w:fill="FFFFFF"/>
              </w:rPr>
              <w:t> 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采用“价格平均法”等，需在招标文件中明确。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D59232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10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518BB8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客观</w:t>
            </w:r>
          </w:p>
        </w:tc>
      </w:tr>
      <w:tr w14:paraId="43D4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4F6295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商务部分</w:t>
            </w:r>
            <w:r>
              <w:rPr>
                <w:rFonts w:cs="宋体"/>
                <w:color w:val="0F1115"/>
                <w:kern w:val="0"/>
                <w:lang w:eastAsia="en-US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(</w:t>
            </w:r>
            <w:r>
              <w:rPr>
                <w:rStyle w:val="5"/>
                <w:rFonts w:hint="eastAsia" w:ascii="宋体" w:hAnsi="宋体" w:cs="宋体"/>
                <w:b w:val="0"/>
                <w:color w:val="0F1115"/>
                <w:sz w:val="21"/>
                <w:szCs w:val="21"/>
                <w:shd w:val="clear" w:color="auto" w:fill="FFFFFF"/>
              </w:rPr>
              <w:t>30分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4FC59A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hint="default" w:ascii="Segoe UI" w:cs="Segoe UI"/>
                <w:color w:val="0F1115"/>
                <w:shd w:val="clear" w:color="auto" w:fill="FFFFFF"/>
              </w:rPr>
              <w:t> </w:t>
            </w:r>
            <w:r>
              <w:rPr>
                <w:rFonts w:hint="default" w:ascii="Segoe UI" w:hAnsi="Segoe UI" w:cs="Segoe UI"/>
                <w:color w:val="0F1115"/>
                <w:shd w:val="clear" w:color="auto" w:fill="FFFFFF"/>
              </w:rPr>
              <w:t>CMA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资质覆盖完整性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79018C">
            <w:pPr>
              <w:spacing w:line="360" w:lineRule="auto"/>
              <w:jc w:val="left"/>
              <w:rPr>
                <w:rFonts w:hint="default" w:cs="宋体"/>
                <w:kern w:val="0"/>
              </w:rPr>
            </w:pPr>
            <w:r>
              <w:rPr>
                <w:rFonts w:hint="default" w:ascii="Segoe UI" w:hAnsi="Segoe UI" w:cs="Segoe UI"/>
                <w:color w:val="0F1115"/>
                <w:shd w:val="clear" w:color="auto" w:fill="FFFFFF"/>
              </w:rPr>
              <w:t>CMA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范围涵盖全部</w:t>
            </w:r>
            <w:r>
              <w:rPr>
                <w:rFonts w:hint="default" w:ascii="Segoe UI" w:hAnsi="Segoe UI" w:cs="Segoe UI"/>
                <w:color w:val="0F1115"/>
                <w:shd w:val="clear" w:color="auto" w:fill="FFFFFF"/>
              </w:rPr>
              <w:t>15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项检测项目得</w:t>
            </w:r>
            <w:r>
              <w:rPr>
                <w:rFonts w:ascii="宋体" w:hAnsi="宋体" w:cs="宋体"/>
                <w:color w:val="000000"/>
                <w:spacing w:val="6"/>
                <w:kern w:val="0"/>
              </w:rPr>
              <w:t>15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分；每缺少</w:t>
            </w:r>
            <w:r>
              <w:rPr>
                <w:rFonts w:hint="default" w:ascii="Segoe UI" w:hAnsi="Segoe UI" w:cs="Segoe UI"/>
                <w:color w:val="0F1115"/>
                <w:shd w:val="clear" w:color="auto" w:fill="FFFFFF"/>
              </w:rPr>
              <w:t>1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项扣</w:t>
            </w:r>
            <w:r>
              <w:rPr>
                <w:rFonts w:ascii="宋体" w:hAnsi="宋体" w:cs="宋体"/>
                <w:color w:val="000000"/>
                <w:spacing w:val="6"/>
                <w:kern w:val="0"/>
              </w:rPr>
              <w:t>1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分，扣完为止。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668E87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15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51B636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客观</w:t>
            </w:r>
          </w:p>
        </w:tc>
      </w:tr>
      <w:tr w14:paraId="0BE0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7EE191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784AF6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F1115"/>
                <w:shd w:val="clear" w:color="auto" w:fill="FFFFFF"/>
              </w:rPr>
              <w:t>类似项目业绩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136A2B">
            <w:pPr>
              <w:jc w:val="left"/>
              <w:rPr>
                <w:rFonts w:hint="default" w:cs="宋体"/>
                <w:color w:val="0F1115"/>
              </w:rPr>
            </w:pPr>
            <w:r>
              <w:rPr>
                <w:rFonts w:ascii="宋体" w:hAnsi="宋体" w:cs="宋体"/>
                <w:color w:val="0F1115"/>
              </w:rPr>
              <w:t>以提供的近三年内有效合同为准：</w:t>
            </w:r>
            <w:r>
              <w:rPr>
                <w:rFonts w:cs="宋体"/>
                <w:color w:val="0F1115"/>
              </w:rPr>
              <w:br w:type="textWrapping"/>
            </w:r>
            <w:r>
              <w:rPr>
                <w:rFonts w:hint="default" w:cs="宋体"/>
                <w:color w:val="0F1115"/>
              </w:rPr>
              <w:t>•</w:t>
            </w:r>
            <w:r>
              <w:rPr>
                <w:rFonts w:ascii="宋体" w:hAnsi="宋体" w:cs="宋体"/>
                <w:color w:val="0F1115"/>
              </w:rPr>
              <w:t xml:space="preserve"> 每有1个</w:t>
            </w:r>
            <w:r>
              <w:rPr>
                <w:rStyle w:val="5"/>
                <w:rFonts w:hint="eastAsia" w:ascii="宋体" w:hAnsi="宋体" w:cs="宋体"/>
                <w:b w:val="0"/>
                <w:color w:val="0F1115"/>
                <w:sz w:val="21"/>
                <w:szCs w:val="21"/>
              </w:rPr>
              <w:t>三级医院</w:t>
            </w:r>
            <w:r>
              <w:rPr>
                <w:rFonts w:ascii="宋体" w:hAnsi="宋体" w:cs="宋体"/>
                <w:color w:val="0F1115"/>
              </w:rPr>
              <w:t>业绩，得</w:t>
            </w:r>
            <w:r>
              <w:rPr>
                <w:rFonts w:ascii="宋体" w:hAnsi="宋体" w:cs="宋体"/>
                <w:color w:val="000000"/>
                <w:spacing w:val="6"/>
                <w:kern w:val="0"/>
              </w:rPr>
              <w:t>5</w:t>
            </w:r>
            <w:r>
              <w:rPr>
                <w:rStyle w:val="5"/>
                <w:rFonts w:hint="eastAsia" w:ascii="宋体" w:hAnsi="宋体" w:cs="宋体"/>
                <w:b w:val="0"/>
                <w:color w:val="0F1115"/>
                <w:sz w:val="21"/>
                <w:szCs w:val="21"/>
              </w:rPr>
              <w:t>分</w:t>
            </w:r>
            <w:r>
              <w:rPr>
                <w:rFonts w:ascii="宋体" w:hAnsi="宋体" w:cs="宋体"/>
                <w:color w:val="0F1115"/>
              </w:rPr>
              <w:t>；</w:t>
            </w:r>
            <w:r>
              <w:rPr>
                <w:rFonts w:cs="宋体"/>
                <w:color w:val="0F1115"/>
              </w:rPr>
              <w:br w:type="textWrapping"/>
            </w:r>
            <w:r>
              <w:rPr>
                <w:rFonts w:hint="default" w:cs="宋体"/>
                <w:color w:val="0F1115"/>
              </w:rPr>
              <w:t>•</w:t>
            </w:r>
            <w:r>
              <w:rPr>
                <w:rFonts w:ascii="宋体" w:hAnsi="宋体" w:cs="宋体"/>
                <w:color w:val="0F1115"/>
              </w:rPr>
              <w:t xml:space="preserve"> 每有1个</w:t>
            </w:r>
            <w:r>
              <w:rPr>
                <w:rStyle w:val="5"/>
                <w:rFonts w:hint="eastAsia" w:ascii="宋体" w:hAnsi="宋体" w:cs="宋体"/>
                <w:b w:val="0"/>
                <w:color w:val="0F1115"/>
                <w:sz w:val="21"/>
                <w:szCs w:val="21"/>
              </w:rPr>
              <w:t>二级医院或同等规模医疗机构</w:t>
            </w:r>
            <w:r>
              <w:rPr>
                <w:rFonts w:ascii="宋体" w:hAnsi="宋体" w:cs="宋体"/>
                <w:color w:val="0F1115"/>
              </w:rPr>
              <w:t>业绩，得</w:t>
            </w:r>
            <w:r>
              <w:rPr>
                <w:rFonts w:ascii="宋体" w:hAnsi="宋体" w:cs="宋体"/>
                <w:color w:val="000000"/>
                <w:spacing w:val="6"/>
                <w:kern w:val="0"/>
              </w:rPr>
              <w:t>1分</w:t>
            </w:r>
            <w:r>
              <w:rPr>
                <w:rFonts w:ascii="宋体" w:hAnsi="宋体" w:cs="宋体"/>
                <w:color w:val="0F1115"/>
              </w:rPr>
              <w:t>。</w:t>
            </w:r>
            <w:r>
              <w:rPr>
                <w:rFonts w:cs="宋体"/>
                <w:color w:val="0F1115"/>
              </w:rPr>
              <w:br w:type="textWrapping"/>
            </w:r>
            <w:r>
              <w:rPr>
                <w:rFonts w:ascii="宋体" w:hAnsi="宋体" w:cs="宋体"/>
                <w:color w:val="0F1115"/>
              </w:rPr>
              <w:t>本项累计最高得</w:t>
            </w:r>
            <w:r>
              <w:rPr>
                <w:rFonts w:ascii="宋体" w:hAnsi="宋体" w:cs="宋体"/>
                <w:color w:val="000000"/>
                <w:spacing w:val="6"/>
                <w:kern w:val="0"/>
              </w:rPr>
              <w:t>15</w:t>
            </w:r>
            <w:r>
              <w:rPr>
                <w:rStyle w:val="5"/>
                <w:rFonts w:hint="eastAsia" w:ascii="宋体" w:hAnsi="宋体" w:cs="宋体"/>
                <w:b w:val="0"/>
                <w:color w:val="0F1115"/>
                <w:sz w:val="21"/>
                <w:szCs w:val="21"/>
              </w:rPr>
              <w:t>分</w:t>
            </w:r>
            <w:r>
              <w:rPr>
                <w:rFonts w:ascii="宋体" w:hAnsi="宋体" w:cs="宋体"/>
                <w:color w:val="0F1115"/>
              </w:rPr>
              <w:t>。</w:t>
            </w:r>
            <w:r>
              <w:rPr>
                <w:rFonts w:cs="宋体"/>
                <w:color w:val="0F1115"/>
              </w:rPr>
              <w:br w:type="textWrapping"/>
            </w:r>
          </w:p>
          <w:p w14:paraId="3534B434">
            <w:pPr>
              <w:jc w:val="left"/>
              <w:rPr>
                <w:rFonts w:hint="default" w:cs="宋体"/>
                <w:color w:val="0F1115"/>
                <w:kern w:val="0"/>
              </w:rPr>
            </w:pPr>
          </w:p>
          <w:p w14:paraId="50E2AD04">
            <w:pPr>
              <w:spacing w:line="360" w:lineRule="auto"/>
              <w:jc w:val="left"/>
              <w:rPr>
                <w:rFonts w:hint="default" w:cs="宋体"/>
                <w:kern w:val="0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C7B919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15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58DBF0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客观</w:t>
            </w:r>
          </w:p>
        </w:tc>
      </w:tr>
      <w:tr w14:paraId="4DD3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2DEF16">
            <w:pPr>
              <w:kinsoku w:val="0"/>
              <w:autoSpaceDE w:val="0"/>
              <w:autoSpaceDN w:val="0"/>
              <w:adjustRightInd w:val="0"/>
              <w:spacing w:before="101" w:line="360" w:lineRule="auto"/>
              <w:jc w:val="center"/>
              <w:rPr>
                <w:rFonts w:hint="default" w:cs="宋体"/>
                <w:color w:val="0F1115"/>
                <w:kern w:val="0"/>
                <w:shd w:val="clear" w:color="auto" w:fill="FFFFFF"/>
                <w:lang w:eastAsia="en-US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技术部分</w:t>
            </w:r>
          </w:p>
          <w:p w14:paraId="1C9BE9E2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60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  <w:lang w:eastAsia="en-US"/>
              </w:rPr>
              <w:t>分)</w:t>
            </w: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10CBAF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Segoe UI" w:hAnsi="Segoe UI" w:cs="Segoe UI"/>
                <w:color w:val="0F1115"/>
                <w:shd w:val="clear" w:color="auto" w:fill="FFFFFF"/>
              </w:rPr>
              <w:t>监测与质控方案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ED04A8">
            <w:pPr>
              <w:spacing w:line="360" w:lineRule="auto"/>
              <w:jc w:val="left"/>
              <w:rPr>
                <w:rFonts w:hint="default" w:cs="宋体"/>
                <w:kern w:val="0"/>
              </w:rPr>
            </w:pP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优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20</w:t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分)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：方案详尽，完全针对医疗污水特点，采样计划科学，质控措施（现场</w:t>
            </w:r>
            <w:r>
              <w:rPr>
                <w:rFonts w:hint="default" w:ascii="Segoe UI" w:hAnsi="Segoe UI" w:cs="Segoe UI"/>
                <w:color w:val="0F1115"/>
                <w:shd w:val="clear" w:color="auto" w:fill="FFFFFF"/>
              </w:rPr>
              <w:t>/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实验室）全面、严谨，风险预判及应对方案具体。</w:t>
            </w:r>
            <w:r>
              <w:rPr>
                <w:rFonts w:hint="default" w:ascii="Segoe UI" w:cs="Segoe UI"/>
                <w:color w:val="0F1115"/>
              </w:rPr>
              <w:br w:type="textWrapping"/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良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15</w:t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分)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：方案较完整，能结合医疗污水特性，质控措施基本完备。</w:t>
            </w:r>
            <w:r>
              <w:rPr>
                <w:rFonts w:hint="default" w:ascii="Segoe UI" w:cs="Segoe UI"/>
                <w:color w:val="0F1115"/>
              </w:rPr>
              <w:br w:type="textWrapping"/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一般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7</w:t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分)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：方案常规，针对性不强，质控措施描述笼统。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64A205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20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E667B7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主观</w:t>
            </w:r>
          </w:p>
        </w:tc>
      </w:tr>
      <w:tr w14:paraId="5E1F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14E4F7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C72EC6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应急响应与数据保障</w:t>
            </w:r>
            <w:r>
              <w:rPr>
                <w:rFonts w:cs="宋体"/>
                <w:color w:val="0F1115"/>
                <w:shd w:val="clear" w:color="auto" w:fill="FFFFFF"/>
              </w:rPr>
              <w:t> 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8F9E54">
            <w:pPr>
              <w:spacing w:line="360" w:lineRule="auto"/>
              <w:jc w:val="left"/>
              <w:rPr>
                <w:rFonts w:hint="default" w:cs="宋体"/>
                <w:kern w:val="0"/>
              </w:rPr>
            </w:pP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优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20</w:t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分)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：应急流程清晰，响应承诺优于公告要求（如</w:t>
            </w:r>
            <w:r>
              <w:rPr>
                <w:rFonts w:hint="default" w:ascii="Segoe UI" w:hAnsi="Segoe UI" w:cs="Segoe UI"/>
                <w:color w:val="0F1115"/>
                <w:shd w:val="clear" w:color="auto" w:fill="FFFFFF"/>
              </w:rPr>
              <w:t>24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小时到场），有备用实验室</w:t>
            </w:r>
            <w:r>
              <w:rPr>
                <w:rFonts w:hint="default" w:ascii="Segoe UI" w:hAnsi="Segoe UI" w:cs="Segoe UI"/>
                <w:color w:val="0F1115"/>
                <w:shd w:val="clear" w:color="auto" w:fill="FFFFFF"/>
              </w:rPr>
              <w:t>/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设备预案，数据安全保障机制健全。</w:t>
            </w:r>
            <w:r>
              <w:rPr>
                <w:rFonts w:hint="default" w:ascii="Segoe UI" w:cs="Segoe UI"/>
                <w:color w:val="0F1115"/>
              </w:rPr>
              <w:br w:type="textWrapping"/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良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15</w:t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分)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：应急流程明确，满足公告</w:t>
            </w:r>
            <w:r>
              <w:rPr>
                <w:rFonts w:hint="default" w:ascii="Segoe UI" w:hAnsi="Segoe UI" w:cs="Segoe UI"/>
                <w:color w:val="0F1115"/>
                <w:shd w:val="clear" w:color="auto" w:fill="FFFFFF"/>
              </w:rPr>
              <w:t>48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小时要求，有基本的数据管理措施。</w:t>
            </w:r>
            <w:r>
              <w:rPr>
                <w:rFonts w:hint="default" w:ascii="Segoe UI" w:cs="Segoe UI"/>
                <w:color w:val="0F1115"/>
              </w:rPr>
              <w:br w:type="textWrapping"/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一般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7</w:t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分)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：应急方案简单，数据保障措施薄弱。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BC7289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20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571F60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主观</w:t>
            </w:r>
          </w:p>
        </w:tc>
      </w:tr>
      <w:tr w14:paraId="5131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D1B291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501E40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Segoe UI" w:hAnsi="Segoe UI" w:cs="Segoe UI"/>
                <w:color w:val="0F1115"/>
                <w:shd w:val="clear" w:color="auto" w:fill="FFFFFF"/>
              </w:rPr>
              <w:t>项目团队配置与经验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30F9D5">
            <w:pPr>
              <w:spacing w:line="360" w:lineRule="auto"/>
              <w:jc w:val="left"/>
              <w:rPr>
                <w:rFonts w:hint="default" w:cs="宋体"/>
                <w:kern w:val="0"/>
              </w:rPr>
            </w:pP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1）团队负责人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10</w:t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分)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：高级职称且经验</w:t>
            </w:r>
            <w:r>
              <w:rPr>
                <w:rFonts w:hint="default" w:ascii="Segoe UI" w:hAnsi="Segoe UI" w:cs="Segoe UI"/>
                <w:color w:val="0F1115"/>
                <w:shd w:val="clear" w:color="auto" w:fill="FFFFFF"/>
              </w:rPr>
              <w:t>&gt;8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年得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10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分；中级职称且经验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8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年得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7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分；不符合得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3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分。</w:t>
            </w:r>
            <w:r>
              <w:rPr>
                <w:rFonts w:hint="default" w:ascii="Segoe UI" w:cs="Segoe UI"/>
                <w:color w:val="0F1115"/>
              </w:rPr>
              <w:br w:type="textWrapping"/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2）技术团队 (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10</w:t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分)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：人员配置齐全（采样、分析、质控），均持证且有医疗污水经验得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10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分；配置基本合理，主要人员有经验得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7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分；配置或经验一般得</w:t>
            </w: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3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分。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EDB2B8">
            <w:pPr>
              <w:spacing w:line="360" w:lineRule="auto"/>
              <w:jc w:val="center"/>
              <w:rPr>
                <w:rFonts w:hint="default" w:cs="宋体"/>
                <w:color w:val="0F1115"/>
                <w:kern w:val="0"/>
                <w:shd w:val="clear" w:color="auto" w:fill="FFFFFF"/>
              </w:rPr>
            </w:pPr>
            <w:r>
              <w:rPr>
                <w:rFonts w:ascii="宋体" w:hAnsi="宋体" w:cs="宋体"/>
                <w:color w:val="0F1115"/>
                <w:kern w:val="0"/>
                <w:shd w:val="clear" w:color="auto" w:fill="FFFFFF"/>
              </w:rPr>
              <w:t>20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4EAA25">
            <w:pPr>
              <w:spacing w:line="360" w:lineRule="auto"/>
              <w:jc w:val="center"/>
              <w:rPr>
                <w:rFonts w:hint="default" w:cs="宋体"/>
                <w:color w:val="000000"/>
                <w:spacing w:val="6"/>
                <w:kern w:val="0"/>
              </w:rPr>
            </w:pPr>
            <w:r>
              <w:rPr>
                <w:rFonts w:ascii="宋体" w:hAnsi="宋体" w:cs="宋体"/>
                <w:color w:val="000000"/>
                <w:spacing w:val="6"/>
                <w:kern w:val="0"/>
              </w:rPr>
              <w:t>主观</w:t>
            </w:r>
          </w:p>
        </w:tc>
      </w:tr>
      <w:tr w14:paraId="1FF6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B1B548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总评分</w:t>
            </w:r>
          </w:p>
        </w:tc>
        <w:tc>
          <w:tcPr>
            <w:tcW w:w="83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B0C2A1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8C18E6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100分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878B74">
            <w:pPr>
              <w:spacing w:line="360" w:lineRule="auto"/>
              <w:jc w:val="center"/>
              <w:rPr>
                <w:rFonts w:hint="default" w:cs="宋体"/>
                <w:kern w:val="0"/>
              </w:rPr>
            </w:pPr>
          </w:p>
        </w:tc>
      </w:tr>
      <w:bookmarkEnd w:id="0"/>
      <w:bookmarkEnd w:id="1"/>
    </w:tbl>
    <w:p w14:paraId="72191A37">
      <w:pPr>
        <w:spacing w:line="360" w:lineRule="auto"/>
        <w:jc w:val="center"/>
        <w:rPr>
          <w:rFonts w:hint="default" w:ascii="楷体" w:hAnsi="楷体" w:eastAsia="楷体" w:cs="楷体"/>
          <w:b/>
          <w:color w:val="000000"/>
          <w:spacing w:val="7"/>
          <w:kern w:val="0"/>
          <w:sz w:val="24"/>
        </w:rPr>
      </w:pPr>
    </w:p>
    <w:p w14:paraId="074E7469">
      <w:r>
        <w:rPr>
          <w:rStyle w:val="5"/>
          <w:rFonts w:hint="eastAsia" w:ascii="宋体" w:hAnsi="宋体" w:cs="Segoe UI"/>
          <w:b w:val="0"/>
          <w:color w:val="0F1115"/>
          <w:shd w:val="clear" w:color="auto" w:fill="FFFFFF"/>
        </w:rPr>
        <w:t>评审人</w:t>
      </w:r>
      <w:r>
        <w:rPr>
          <w:rFonts w:ascii="宋体" w:hAnsi="宋体" w:cs="Segoe UI"/>
          <w:color w:val="0F1115"/>
          <w:kern w:val="0"/>
          <w:sz w:val="24"/>
          <w:szCs w:val="24"/>
        </w:rPr>
        <w:t>（签字）</w:t>
      </w:r>
      <w:r>
        <w:rPr>
          <w:rFonts w:ascii="宋体" w:hAnsi="宋体" w:cs="宋体"/>
          <w:kern w:val="0"/>
          <w:sz w:val="24"/>
          <w:szCs w:val="24"/>
        </w:rPr>
        <w:t>：</w:t>
      </w:r>
      <w:r>
        <w:rPr>
          <w:rFonts w:ascii="宋体" w:hAnsi="宋体" w:cs="宋体"/>
          <w:b/>
          <w:kern w:val="0"/>
          <w:sz w:val="24"/>
          <w:szCs w:val="24"/>
        </w:rPr>
        <w:t>________</w:t>
      </w:r>
      <w:r>
        <w:rPr>
          <w:rFonts w:ascii="宋体" w:hAnsi="宋体" w:cs="宋体"/>
          <w:b/>
          <w:kern w:val="0"/>
          <w:sz w:val="24"/>
          <w:szCs w:val="24"/>
          <w:u w:val="single"/>
        </w:rPr>
        <w:t xml:space="preserve">      </w:t>
      </w:r>
      <w:r>
        <w:rPr>
          <w:rFonts w:hint="default" w:ascii="宋体" w:hAnsi="宋体" w:cs="宋体"/>
          <w:b/>
          <w:kern w:val="0"/>
          <w:sz w:val="24"/>
          <w:szCs w:val="24"/>
          <w:u w:val="single"/>
        </w:rPr>
        <w:t xml:space="preserve">                                      </w:t>
      </w:r>
      <w:r>
        <w:rPr>
          <w:rFonts w:ascii="宋体" w:hAnsi="宋体" w:cs="宋体"/>
          <w:b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b/>
          <w:kern w:val="0"/>
          <w:sz w:val="24"/>
          <w:szCs w:val="24"/>
        </w:rPr>
        <w:t>_____</w:t>
      </w:r>
      <w:r>
        <w:rPr>
          <w:rStyle w:val="5"/>
          <w:rFonts w:hint="eastAsia" w:ascii="宋体" w:hAnsi="宋体" w:cs="Segoe UI"/>
          <w:b w:val="0"/>
          <w:color w:val="0F1115"/>
          <w:shd w:val="clear" w:color="auto" w:fill="FFFFFF"/>
        </w:rPr>
        <w:t>评审</w:t>
      </w:r>
      <w:r>
        <w:rPr>
          <w:rFonts w:ascii="宋体" w:hAnsi="宋体" w:cs="宋体"/>
          <w:kern w:val="0"/>
          <w:sz w:val="24"/>
          <w:szCs w:val="24"/>
        </w:rPr>
        <w:t>日期:_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kern w:val="0"/>
          <w:sz w:val="24"/>
          <w:szCs w:val="24"/>
        </w:rPr>
        <w:t>___年_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_月_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C3641"/>
    <w:rsid w:val="132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unhideWhenUsed/>
    <w:qFormat/>
    <w:uiPriority w:val="22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2025-12-22T05:29:00Z</dcterms:created>
  <dc:creator>Lyn</dc:creator>
  <cp:lastModifiedBy>Lyn</cp:lastModifiedBy>
  <dcterms:modified xsi:type="dcterms:W3CDTF">2025-12-22T05:29:34Z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DF7D7BCC6E524EE0AC3382B615876ACD_11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